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png" ContentType="image/png"/>
  <Override PartName="/word/media/rId38.png" ContentType="image/png"/>
  <Override PartName="/word/media/rId39.png" ContentType="image/png"/>
  <Override PartName="/word/media/rId44.png" ContentType="image/png"/>
  <Override PartName="/word/media/rId57.png" ContentType="image/png"/>
  <Override PartName="/word/media/rId36.png" ContentType="image/png"/>
  <Override PartName="/word/media/rId59.png" ContentType="image/png"/>
  <Override PartName="/word/media/rId53.png" ContentType="image/png"/>
  <Override PartName="/word/media/rId58.png" ContentType="image/png"/>
  <Override PartName="/word/media/rId60.png" ContentType="image/png"/>
  <Override PartName="/word/media/rId55.png" ContentType="image/png"/>
  <Override PartName="/word/media/rId56.png" ContentType="image/png"/>
  <Override PartName="/word/media/rId48.png" ContentType="image/png"/>
  <Override PartName="/word/media/rId45.png" ContentType="image/png"/>
  <Override PartName="/word/media/rId52.png" ContentType="image/png"/>
  <Override PartName="/word/media/rId54.png" ContentType="image/png"/>
  <Override PartName="/word/media/rId46.png" ContentType="image/png"/>
  <Override PartName="/word/media/rId47.png" ContentType="image/png"/>
  <Override PartName="/word/media/rId50.png" ContentType="image/png"/>
  <Override PartName="/word/media/image14.png" ContentType="image/png"/>
  <Override PartName="/word/media/image12.png" ContentType="image/png"/>
  <Override PartName="/word/media/image15.png" ContentType="image/png"/>
  <Override PartName="/word/media/image13.png" ContentType="image/png"/>
  <Override PartName="/word/media/image17.png" ContentType="image/png"/>
  <Override PartName="/word/media/image11.png" ContentType="image/png"/>
  <Override PartName="/word/media/image18.png" ContentType="image/png"/>
  <Override PartName="/word/media/image19.png" ContentType="image/png"/>
  <Override PartName="/word/media/image20.png" ContentType="image/png"/>
  <Override PartName="/word/media/image16.png" ContentType="image/png"/>
  <Override PartName="/word/media/image9.png" ContentType="image/png"/>
  <Override PartName="/word/media/image2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r>
        <w:t xml:space="preserve"> </w:t>
      </w:r>
      <w:r>
        <w:t xml:space="preserve">Crete</w:t>
      </w:r>
    </w:p>
    <w:p>
      <w:pPr>
        <w:pStyle w:val="Subtitle"/>
      </w:pP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p>
    <w:p>
      <w:pPr>
        <w:pStyle w:val="Author"/>
      </w:pPr>
      <w:r>
        <w:t xml:space="preserve">Dominic</w:t>
      </w:r>
      <w:r>
        <w:t xml:space="preserve"> </w:t>
      </w:r>
      <w:r>
        <w:t xml:space="preserve">Pollard,</w:t>
      </w:r>
      <w:r>
        <w:t xml:space="preserve"> </w:t>
      </w: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p>
    <w:p>
      <w:pPr>
        <w:pStyle w:val="Author"/>
      </w:pPr>
      <w:hyperlink r:id="rId21">
        <w:r>
          <w:rPr>
            <w:rStyle w:val="Hyperlink"/>
          </w:rPr>
          <w:t xml:space="preserve">dominic.pollard.16@ucl.ac.uk</w:t>
        </w:r>
      </w:hyperlink>
    </w:p>
    <w:p>
      <w:pPr>
        <w:pStyle w:val="Date"/>
      </w:pPr>
      <w:r>
        <w:t xml:space="preserve">21</w:t>
      </w:r>
      <w:r>
        <w:t xml:space="preserve"> </w:t>
      </w:r>
      <w:r>
        <w:t xml:space="preserve">May,</w:t>
      </w:r>
      <w:r>
        <w:t xml:space="preserve"> </w:t>
      </w:r>
      <w:r>
        <w:t xml:space="preserve">2019</w:t>
      </w:r>
    </w:p>
    <w:p>
      <w:pPr>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This</w:t>
      </w:r>
      <w:r>
        <w:t xml:space="preserve"> </w:t>
      </w:r>
      <w:r>
        <w:t xml:space="preserve">paper</w:t>
      </w:r>
      <w:r>
        <w:t xml:space="preserve"> </w:t>
      </w:r>
      <w:r>
        <w:t xml:space="preserve">does</w:t>
      </w:r>
      <w:r>
        <w:t xml:space="preserve"> </w:t>
      </w:r>
      <w:r>
        <w:t xml:space="preserve">just</w:t>
      </w:r>
      <w:r>
        <w:t xml:space="preserve"> </w:t>
      </w:r>
      <w:r>
        <w:t xml:space="preserve">that,</w:t>
      </w:r>
      <w:r>
        <w:t xml:space="preserve"> </w:t>
      </w:r>
      <w:r>
        <w:t xml:space="preserve">and</w:t>
      </w:r>
      <w:r>
        <w:t xml:space="preserve"> </w:t>
      </w:r>
      <w:r>
        <w:t xml:space="preserve">in</w:t>
      </w:r>
      <w:r>
        <w:t xml:space="preserve"> </w:t>
      </w:r>
      <w:r>
        <w:t xml:space="preserve">so</w:t>
      </w:r>
      <w:r>
        <w:t xml:space="preserve"> </w:t>
      </w:r>
      <w:r>
        <w:t xml:space="preserve">doing</w:t>
      </w:r>
      <w:r>
        <w:t xml:space="preserve"> </w:t>
      </w:r>
      <w:r>
        <w:t xml:space="preserve">identifies,</w:t>
      </w:r>
      <w:r>
        <w:t xml:space="preserve"> </w:t>
      </w:r>
      <w:r>
        <w:t xml:space="preserve">and</w:t>
      </w:r>
      <w:r>
        <w:t xml:space="preserve"> </w:t>
      </w:r>
      <w:r>
        <w:t xml:space="preserve">attempts</w:t>
      </w:r>
      <w:r>
        <w:t xml:space="preserve"> </w:t>
      </w:r>
      <w:r>
        <w:t xml:space="preserve">to</w:t>
      </w:r>
      <w:r>
        <w:t xml:space="preserve"> </w:t>
      </w:r>
      <w:r>
        <w:t xml:space="preserve">explain,</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burial</w:t>
      </w:r>
      <w:r>
        <w:t xml:space="preserve"> </w:t>
      </w:r>
      <w:r>
        <w:t xml:space="preserve">rates</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towards</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introduction"/>
      <w:bookmarkEnd w:id="22"/>
      <w:r>
        <w:t xml:space="preserve">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data and reproducible research. To begin with the first of these, it may be felt that, of all ancient sites on Crete, Knossos is the last in need of further archaeological attention. The city and palace of Knossos, first excavated well over a century ago</w:t>
      </w:r>
      <w:r>
        <w:t xml:space="preserve"> </w:t>
      </w:r>
      <w:r>
        <w:t xml:space="preserve">(Evans 1921, 1928, 1930)</w:t>
      </w:r>
      <w:r>
        <w:t xml:space="preserve">, retain a pre-eminent position in popular and academic accounts the island’s Bronze Age,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the last few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many scholars of the image of a society bereft of its former palatial glory. Certainly, few would any longer defend the appelation or interpretive bagguage of the</w:t>
      </w:r>
      <w:r>
        <w:t xml:space="preserve"> </w:t>
      </w:r>
      <w:r>
        <w:t xml:space="preserve">‘</w:t>
      </w:r>
      <w:r>
        <w:t xml:space="preserve">Dark Ages</w:t>
      </w:r>
      <w:r>
        <w:t xml:space="preserve">’</w:t>
      </w:r>
      <w:r>
        <w:t xml:space="preserve"> </w:t>
      </w:r>
      <w:r>
        <w:t xml:space="preserve">(on the origins of which, see Kotsonas 2016; Morris 1997)</w:t>
      </w:r>
      <w:r>
        <w:t xml:space="preserve">.Nonetheless, our knowledge of many EIA settlements remains often underdeveloped in comparison with those of the second millennium BC.</w:t>
      </w:r>
    </w:p>
    <w:p>
      <w:pPr>
        <w:pStyle w:val="BodyText"/>
      </w:pPr>
      <w:r>
        <w:t xml:space="preserve">But more importantly,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number of elevated, defensible settlements supposedly founded in response to the dangers of this turbulent period. This research agenda is likewise reflected in survey work, which has focussed extensively around the Bay of Mirabello, and the Isthmus of Ierapetra. This has, unfortunately, engendered a certain disregard for settlement characterised by quite different topographies, especially in the central region of the island. There remains, therefore, a need for studies addressing the social dynamics at such sites (Knossos, Phaistos, Grivila etc.), with a long-term view to comparative appraisal of the divergent trajectories of communities across the island in the EIA</w:t>
      </w:r>
      <w:r>
        <w:t xml:space="preserve"> </w:t>
      </w:r>
      <w:r>
        <w:t xml:space="preserve">(Kotsonas 2011a; Whitley 2011:667–8)</w:t>
      </w:r>
      <w:r>
        <w:t xml:space="preserve">.</w:t>
      </w:r>
    </w:p>
    <w:p>
      <w:pPr>
        <w:pStyle w:val="BodyText"/>
      </w:pPr>
      <w:r>
        <w:t xml:space="preserve">As for the second and third of my stated interests, several authors have recently demonstrated the great potential of quantitative, statistical, spatial, and network analyses in elucidating social dynamics, settlement patterning, and systems of inter-regional communication and exchange across Crete and the wider Aegean. Such work encourages the use of large (often pre-existing) datasets, and the sharing of both data and methods to facilitate reproducible, collaborative, and innovative research</w:t>
      </w:r>
      <w:r>
        <w:t xml:space="preserve"> </w:t>
      </w:r>
      <w:r>
        <w:t xml:space="preserve">(Bevan and Wilson 2013; Knappett 2011)</w:t>
      </w:r>
      <w:r>
        <w:t xml:space="preserve">. The cemeteries of Knossos offer an opportunity to introduce such approaches into EIA research,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have been considered variously in relation to their</w:t>
      </w:r>
      <w:r>
        <w:t xml:space="preserve"> </w:t>
      </w:r>
      <w:r>
        <w:t xml:space="preserve">‘</w:t>
      </w:r>
      <w:r>
        <w:t xml:space="preserve">oriental</w:t>
      </w:r>
      <w:r>
        <w:t xml:space="preserve">’</w:t>
      </w:r>
      <w:r>
        <w:t xml:space="preserve"> </w:t>
      </w:r>
      <w:r>
        <w:t xml:space="preserve">imports</w:t>
      </w:r>
      <w:r>
        <w:t xml:space="preserve"> </w:t>
      </w:r>
      <w:r>
        <w:t xml:space="preserve">(Antoniadis 2012)</w:t>
      </w:r>
      <w:r>
        <w:t xml:space="preserve">, antique artefacts</w:t>
      </w:r>
      <w:r>
        <w:t xml:space="preserve"> </w:t>
      </w:r>
      <w:r>
        <w:t xml:space="preserve">(Crowe 2016)</w:t>
      </w:r>
      <w:r>
        <w:t xml:space="preserve">, and religious context</w:t>
      </w:r>
      <w:r>
        <w:t xml:space="preserve"> </w:t>
      </w:r>
      <w:r>
        <w:t xml:space="preserve">(Coldstream 1984a)</w:t>
      </w:r>
      <w:r>
        <w:t xml:space="preserve">. But a lack of quantitative analyses, or systematic comparisons between different cemeteries, has left us with many intuited trends, some clearly exceptional tombs, but a general impression of un-patterned multiplicity.</w:t>
      </w:r>
    </w:p>
    <w:p>
      <w:pPr>
        <w:pStyle w:val="BodyText"/>
      </w:pPr>
      <w:r>
        <w:t xml:space="preserve">I suggest that the application of a range of quantitative and statistical methods may provide new insight into the social behaviours underlying the mortuary assemblages. With a dataset including information on every find and tomb recorded in the Fortetsa and Knossos North Cemetery publications</w:t>
      </w:r>
      <w:r>
        <w:t xml:space="preserve"> </w:t>
      </w:r>
      <w:r>
        <w:t xml:space="preserve">(Brock 1957; Coldstream and Catling 1996)</w:t>
      </w:r>
      <w:r>
        <w:t xml:space="preserve">, the following analysis examines both the synchronic and diachronic variation among the tombs of both cemeteries.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not just generalities, but tangible and context-specific considerations of the motivations and identities behind the burial groups themselves, with a view to eventually comparing such results with mortuary assemblages across the island.</w:t>
      </w:r>
    </w:p>
    <w:p>
      <w:pPr>
        <w:pStyle w:val="Heading1"/>
      </w:pPr>
      <w:bookmarkStart w:id="23" w:name="early-iron-age-knossos"/>
      <w:bookmarkEnd w:id="23"/>
      <w:r>
        <w:t xml:space="preserve">Early Iron Age Knossos</w:t>
      </w:r>
    </w:p>
    <w:p>
      <w:pPr>
        <w:pStyle w:val="Heading2"/>
      </w:pPr>
      <w:bookmarkStart w:id="24" w:name="settlement-evidence-a-meagre-filling-in-a-very-thick-sandwich"/>
      <w:bookmarkEnd w:id="24"/>
      <w:r>
        <w:t xml:space="preserve">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w:t>
      </w:r>
      <w:r>
        <w:t xml:space="preserve"> </w:t>
      </w:r>
      <w:r>
        <w:t xml:space="preserve">“</w:t>
      </w:r>
      <w:r>
        <w:t xml:space="preserve">the remains of [this] period are like a meagre filling in a very thick sandwich</w:t>
      </w:r>
      <w:r>
        <w:t xml:space="preserve">”</w:t>
      </w:r>
      <w:r>
        <w:t xml:space="preserve"> </w:t>
      </w:r>
      <w:r>
        <w:t xml:space="preserve">between Bronze Age and later Greek and Roman levels</w:t>
      </w:r>
      <w:r>
        <w:t xml:space="preserve"> </w:t>
      </w:r>
      <w:r>
        <w:t xml:space="preserve">(Coldstream 1991:287)</w:t>
      </w:r>
      <w:r>
        <w:t xml:space="preserve">. Most individual finds of Protogeometric or Geometric date take the form of flimsy foundations, patches of earth floor, wells or simple scatters of pottery, and for a long time it was believed the town contracted, moved, or even dissolved following the collapse of the palace. Indeed, Alexiou</w:t>
      </w:r>
      <w:r>
        <w:t xml:space="preserve"> </w:t>
      </w:r>
      <w:r>
        <w:t xml:space="preserve">(Α</w:t>
      </w:r>
      <m:oMath>
        <m:r>
          <m:t>λ</m:t>
        </m:r>
      </m:oMath>
      <m:oMath>
        <m:r>
          <m:t>ϵ</m:t>
        </m:r>
      </m:oMath>
      <m:oMath>
        <m:r>
          <m:t>ξ</m:t>
        </m:r>
      </m:oMath>
      <w:r>
        <w:t xml:space="preserve">ίο</w:t>
      </w:r>
      <m:oMath>
        <m:r>
          <m:t>υ</m:t>
        </m:r>
      </m:oMath>
      <w:r>
        <w:t xml:space="preserve"> </w:t>
      </w:r>
      <w:r>
        <w:t xml:space="preserve">1950)</w:t>
      </w:r>
      <w:r>
        <w:t xml:space="preserve"> </w:t>
      </w:r>
      <w:r>
        <w:t xml:space="preserve">thought it likely that the area comprised several dispersed villages, which later coalesced into a single city, as per Aristotle’s model of synoecism.</w:t>
      </w:r>
    </w:p>
    <w:p>
      <w:pPr>
        <w:pStyle w:val="BodyText"/>
      </w:pPr>
      <w:r>
        <w:t xml:space="preserve">However, a concentration of activity slightly to the west of the old palace presented a good case for continuing, nucleated settlement</w:t>
      </w:r>
      <w:r>
        <w:t xml:space="preserve"> </w:t>
      </w:r>
      <w:r>
        <w:t xml:space="preserve">(Hood and Smyth 1981)</w:t>
      </w:r>
      <w:r>
        <w:t xml:space="preserve">, something strongly advocated by Coldstream</w:t>
      </w:r>
      <w:r>
        <w:t xml:space="preserve"> </w:t>
      </w:r>
      <w:r>
        <w:t xml:space="preserve">(1984b, 2000)</w:t>
      </w:r>
      <w:r>
        <w:t xml:space="preserve">, while, more recently, findings of the Knossos Urban Landscape Project suggest a PG settlement of up to 40ha</w:t>
      </w:r>
      <w:r>
        <w:t xml:space="preserve"> </w:t>
      </w:r>
      <w:r>
        <w:t xml:space="preserve">(Kotsonas et al. 2011:5–8)</w:t>
      </w:r>
      <w:r>
        <w:t xml:space="preserve">. This estimate remains our best guess in the absence of substantial excavated deposits but, if it is accurate, then EIA Knossos was one of the largest sites of the contemporary Aegean.</w:t>
      </w:r>
    </w:p>
    <w:p>
      <w:pPr>
        <w:pStyle w:val="Heading2"/>
      </w:pPr>
      <w:bookmarkStart w:id="25" w:name="the-early-iron-age-cemeteries"/>
      <w:bookmarkEnd w:id="25"/>
      <w:r>
        <w:t xml:space="preserve">The Early Iron Age Cemeteries</w:t>
      </w:r>
    </w:p>
    <w:p>
      <w:pPr>
        <w:pStyle w:val="FigureWithCaption"/>
      </w:pPr>
      <w:r>
        <w:drawing>
          <wp:inline>
            <wp:extent cx="5943600" cy="8407522"/>
            <wp:effectExtent b="0" l="0" r="0" t="0"/>
            <wp:docPr descr="Figure 1 Map of the Knossos area showing the locations of the various tomb clusters and cemeteries, with EIA pottery distributions from the KULP marked in orange" title="" id="1" name="Picture"/>
            <a:graphic>
              <a:graphicData uri="http://schemas.openxmlformats.org/drawingml/2006/picture">
                <pic:pic>
                  <pic:nvPicPr>
                    <pic:cNvPr descr="../figures/Knossos%20Tombs%20Map.png" id="0" name="Picture"/>
                    <pic:cNvPicPr>
                      <a:picLocks noChangeArrowheads="1" noChangeAspect="1"/>
                    </pic:cNvPicPr>
                  </pic:nvPicPr>
                  <pic:blipFill>
                    <a:blip r:embed="rId26"/>
                    <a:stretch>
                      <a:fillRect/>
                    </a:stretch>
                  </pic:blipFill>
                  <pic:spPr bwMode="auto">
                    <a:xfrm>
                      <a:off x="0" y="0"/>
                      <a:ext cx="5943600" cy="8407522"/>
                    </a:xfrm>
                    <a:prstGeom prst="rect">
                      <a:avLst/>
                    </a:prstGeom>
                    <a:noFill/>
                    <a:ln w="9525">
                      <a:noFill/>
                      <a:headEnd/>
                      <a:tailEnd/>
                    </a:ln>
                  </pic:spPr>
                </pic:pic>
              </a:graphicData>
            </a:graphic>
          </wp:inline>
        </w:drawing>
      </w:r>
    </w:p>
    <w:p>
      <w:pPr>
        <w:pStyle w:val="ImageCaption"/>
      </w:pPr>
      <w:r>
        <w:t xml:space="preserve">Figure 1 Map of the Knossos area showing the locations of the various tomb clusters and cemeteries, with EIA pottery distributions from the KULP marked in orange</w:t>
      </w:r>
    </w:p>
    <w:p>
      <w:pPr>
        <w:pStyle w:val="BodyText"/>
      </w:pPr>
      <w:r>
        <w:t xml:space="preserve">Survey aside, our most abundant evidence for EIA Knossos comes from the mortuary record. The transitional period between the LBA and EIA, admittedly, yields few if any securely datable burials. In the EIA proper, however, the evidence becomes more plentiful, with multiple burials known from the Kephala ridge</w:t>
      </w:r>
      <w:r>
        <w:t xml:space="preserve"> </w:t>
      </w:r>
      <w:r>
        <w:t xml:space="preserve">(Coldstream 1963:38; Hogarth 1899:82–5)</w:t>
      </w:r>
      <w:r>
        <w:t xml:space="preserve">, the modern suburbs of Ayios Ioannis and Atsalenio</w:t>
      </w:r>
      <w:r>
        <w:t xml:space="preserve"> </w:t>
      </w:r>
      <w:r>
        <w:t xml:space="preserve">(Boardman 1960; Davaras 1968:133–46)</w:t>
      </w:r>
      <w:r>
        <w:t xml:space="preserve">, the cave of Mavro Spelio</w:t>
      </w:r>
      <w:r>
        <w:t xml:space="preserve"> </w:t>
      </w:r>
      <w:r>
        <w:t xml:space="preserve">(Antoniadis 2012:58–9)</w:t>
      </w:r>
      <w:r>
        <w:t xml:space="preserve">, and the Khaniale Teke site with its well-known tholos, mooted as evidence for the presence immigrant craftsmen from the Near East</w:t>
      </w:r>
      <w:r>
        <w:t xml:space="preserve"> </w:t>
      </w:r>
      <w:r>
        <w:t xml:space="preserve">(Boardman 1967; Hutchinson and Boardman 1954; cf. Hoffman 1997</w:t>
      </w:r>
      <w:r>
        <w:t xml:space="preserve"> </w:t>
      </w:r>
      <w:r>
        <w:t xml:space="preserve">Kotsonas (2006)</w:t>
      </w:r>
      <w:r>
        <w:t xml:space="preserve">)</w:t>
      </w:r>
      <w:r>
        <w:t xml:space="preserve">. Taken together, these scattered tombs point to a richly variegated set of funerary practices but, despite their reasonable number, these tombs, so dispersed and often solitary, provide little scope for systematic quantitative analysis.</w:t>
      </w:r>
    </w:p>
    <w:p>
      <w:pPr>
        <w:pStyle w:val="BodyText"/>
      </w:pPr>
      <w:r>
        <w:t xml:space="preserve">Fortunately, far larger burial accumulations are to be found in the Fortetsa and the Knossos North cemeteries, which together comprise some 134 tombs, ranging in date from the Subminoan to Late Orienatalising periods. Though many were robbed in antiquity, and others destroyed by the digging of later burials, building work, or just the ravages of time, they still represent the most abundant source of evidence for not just mortuary practices, but for social life of any kind at EIA Knossos. They are thus the ideal candidates for a quantitative analysis of the kind advanced here.</w:t>
      </w:r>
    </w:p>
    <w:p>
      <w:pPr>
        <w:pStyle w:val="Heading2"/>
      </w:pPr>
      <w:bookmarkStart w:id="27" w:name="the-fortetsa-and-the-knossos-north-cemeteries"/>
      <w:bookmarkEnd w:id="27"/>
      <w:r>
        <w:t xml:space="preserve">The Fortetsa and the Knossos North Cemeteries</w:t>
      </w:r>
    </w:p>
    <w:p>
      <w:pPr>
        <w:pStyle w:val="FirstParagraph"/>
      </w:pPr>
      <w:r>
        <w:t xml:space="preserve">The cemetery on the slope facing the eponymous village of Fortetsa is composed of twelve tombs excavated in 1933, and another eight uncovered in 1935 (Brock 1957, xi). These tombs cluster in three main groups. The largest of these, including tombs IX, VIII, VII, V, II, III, IV, V and P, is arranged on a north-south axis, with the</w:t>
      </w:r>
      <w:r>
        <w:t xml:space="preserve"> </w:t>
      </w:r>
      <w:r>
        <w:rPr>
          <w:i/>
        </w:rPr>
        <w:t xml:space="preserve">dromos</w:t>
      </w:r>
      <w:r>
        <w:t xml:space="preserve"> </w:t>
      </w:r>
      <w:r>
        <w:t xml:space="preserve">of each tomb extending downslope to the west. Further north lies the cluster of tombs OD, X, XI, LST and BLT. The third group lies south of the first, and comprises tombs Θ, Ϙ and F. Finally, three tombs excavated in 1933 – L, TFT and Π – which lie close to the main road north of the Acropolis hill</w:t>
      </w:r>
      <w:r>
        <w:t xml:space="preserve"> </w:t>
      </w:r>
      <w:r>
        <w:t xml:space="preserve">(Brock 1957:1–2)</w:t>
      </w:r>
      <w:r>
        <w:t xml:space="preserve">, are now considered to belong the Knossos North Cemetery.</w:t>
      </w:r>
    </w:p>
    <w:p>
      <w:pPr>
        <w:pStyle w:val="BodyText"/>
      </w:pPr>
      <w:r>
        <w:t xml:space="preserve">To the northeast of the Fortetsa cemetery, a collection of ten badly damaged tombs known, after the year of their excavation, as the Fortetsa 1967 tombs, were probably the southernmost burials of the North Cemetery. Unfortunately, all had been looted at the time of excavation, and no in situ deposit was found in any tomb. They are thus excluded from present analysis. Northwest of these tombs,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named for the extension of the university of Crete that prompted major rescue excavations here in 1978. Some 89 tombs of Subminoan to Late Orientalising date were found, by far the largest single concentration of EIA tombs in the whole Knossos area</w:t>
      </w:r>
      <w:r>
        <w:t xml:space="preserve"> </w:t>
      </w:r>
      <w:r>
        <w:t xml:space="preserve">(Coldstream and Catling 1996:53–55)</w:t>
      </w:r>
      <w:r>
        <w:t xml:space="preserve">.</w:t>
      </w:r>
    </w:p>
    <w:p>
      <w:pPr>
        <w:pStyle w:val="BodyText"/>
      </w:pPr>
      <w:r>
        <w:t xml:space="preserve">The 134 tombs that make up these two cemeteries (of which 124 are treated in the analysis), some of which were in use for several centuries, suggest an established, relatively stable community for whom tradition formed an important foundation in mortuary beliefs and behaviours</w:t>
      </w:r>
      <w:r>
        <w:t xml:space="preserve"> </w:t>
      </w:r>
      <w:r>
        <w:t xml:space="preserve">(Coldstream 1994:106–108)</w:t>
      </w:r>
      <w:r>
        <w:t xml:space="preserve">. The tombs fall into three main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 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a combination of both</w:t>
      </w:r>
      <w:r>
        <w:t xml:space="preserve"> </w:t>
      </w:r>
      <w:r>
        <w:t xml:space="preserve">(Antoniadis 2012:47–8)</w:t>
      </w:r>
      <w:r>
        <w:t xml:space="preserve">. The majority of burials in these two cemeteries are cremations, a rite that appears at Knossos in the Subminoan period, in the Tomb 200+ complex (Ts. 200, 201 and 202 are three chambers of a single pit tomb) in the KNC</w:t>
      </w:r>
      <w:r>
        <w:t xml:space="preserve"> </w:t>
      </w:r>
      <w:r>
        <w:t xml:space="preserve">(Coldstream 1994:109)</w:t>
      </w:r>
      <w:r>
        <w:t xml:space="preserve">. Inhumation does not completely disappear in the EIA, but by the Orientalising period it appears restricted to child burials, and in those instances where it is attested (Ts. L, 45, 98, 112 and F67:5), these burials appear to be among the very earliest in each tomb</w:t>
      </w:r>
      <w:r>
        <w:t xml:space="preserve"> </w:t>
      </w:r>
      <w:r>
        <w:t xml:space="preserve">(Antoniadis 2012:69)</w:t>
      </w:r>
      <w:r>
        <w:t xml:space="preserve">.</w:t>
      </w:r>
    </w:p>
    <w:p>
      <w:pPr>
        <w:pStyle w:val="Heading2"/>
      </w:pPr>
      <w:bookmarkStart w:id="28" w:name="chronological-developments-in-the-cemeteries"/>
      <w:bookmarkEnd w:id="28"/>
      <w:r>
        <w:t xml:space="preserve">Chronological developments in the cemeteries</w:t>
      </w:r>
    </w:p>
    <w:p>
      <w:pPr>
        <w:pStyle w:val="FirstParagraph"/>
      </w:pPr>
      <w:r>
        <w:t xml:space="preserve">The chronological sequence of the cemeteries has received much attention. It has been claimed that no tomb crosses the LM IIIC-SM divide [</w:t>
      </w:r>
      <w:r>
        <w:t xml:space="preserve">Coldstream (1998)</w:t>
      </w:r>
      <w:r>
        <w:t xml:space="preserve">, 58;</w:t>
      </w:r>
      <w:r>
        <w:t xml:space="preserve"> </w:t>
      </w:r>
      <w:r>
        <w:t xml:space="preserve">Coldstream (2006)</w:t>
      </w:r>
      <w:r>
        <w:t xml:space="preserve">, 582), but there is a strong possibility that this is a classificatory artefact</w:t>
      </w:r>
      <w:r>
        <w:t xml:space="preserve"> </w:t>
      </w:r>
      <w:r>
        <w:t xml:space="preserve">(Hallager 2010)</w:t>
      </w:r>
      <w:r>
        <w:t xml:space="preserve">. The earliest tomb appears to be the T. 200+ complex, with its precocious cremations and imported artefacts. There remain ongoing debates about whether the KNC represents a foundation on virgin soil, as instances of BA tombs reused the EIA are known (e.g. the Khaniale Teke tholos). Cavanagh</w:t>
      </w:r>
      <w:r>
        <w:t xml:space="preserve"> </w:t>
      </w:r>
      <w:r>
        <w:t xml:space="preserve">(1996)</w:t>
      </w:r>
      <w:r>
        <w:t xml:space="preserve">, for one, could not rule out the possibility of some KNC tombs being of BA date based on his cluster analysis, but other evidence would suggest this is unlikely (Whitelaw, pers. comm.).</w:t>
      </w:r>
    </w:p>
    <w:p>
      <w:pPr>
        <w:pStyle w:val="BodyText"/>
      </w:pPr>
      <w:r>
        <w:t xml:space="preserve">During the use of the cemeteries, correspondences have been highlighted between changing pottery styles, and patterns of tomb construction and abandonment. The Protogeometric B style, first defined by Brock</w:t>
      </w:r>
      <w:r>
        <w:t xml:space="preserve"> </w:t>
      </w:r>
      <w:r>
        <w:t xml:space="preserve">(1957)</w:t>
      </w:r>
      <w:r>
        <w:t xml:space="preserve">, 143], who hailed it as</w:t>
      </w:r>
      <w:r>
        <w:t xml:space="preserve"> </w:t>
      </w:r>
      <w:r>
        <w:t xml:space="preserve">“</w:t>
      </w:r>
      <w:r>
        <w:t xml:space="preserve">the most remarkable phase in Cretan vase-painting</w:t>
      </w:r>
      <w:r>
        <w:t xml:space="preserve">”</w:t>
      </w:r>
      <w:r>
        <w:t xml:space="preserve">, is apparently a Cretan anomaly, and sees Attic geometric motifs mixed with experimental patterns possibly deriving from Near Eastern metalwork, as well as iconography drawn seemingly from the Minoan repertoire (Coldstream 1984, 93–4). Coldstream has argued that the concurrence of this style with a rash of newly founded tombs points to a reformulation of elite mortuary display, noting how, in this period also, redeposited Minoan larnakes began appearing in and around some tombs, in one case even inspiring the decoration of a PGB vessel (in T. 107; see</w:t>
      </w:r>
      <w:r>
        <w:t xml:space="preserve"> </w:t>
      </w:r>
      <w:r>
        <w:t xml:space="preserve">Coldstream (1984a)</w:t>
      </w:r>
      <w:r>
        <w:t xml:space="preserve">;</w:t>
      </w:r>
      <w:r>
        <w:t xml:space="preserve"> </w:t>
      </w:r>
      <w:r>
        <w:t xml:space="preserve">Coldstream (1994)</w:t>
      </w:r>
      <w:r>
        <w:t xml:space="preserve">, 112–3). Whether simply nostalgia</w:t>
      </w:r>
      <w:r>
        <w:t xml:space="preserve"> </w:t>
      </w:r>
      <w:r>
        <w:t xml:space="preserve">(Coldstream 1998:60)</w:t>
      </w:r>
      <w:r>
        <w:t xml:space="preserve">, or a more tactical strategy by newly emerging elite groups</w:t>
      </w:r>
      <w:r>
        <w:t xml:space="preserve"> </w:t>
      </w:r>
      <w:r>
        <w:t xml:space="preserve">(Coldstream 1994:114–5)</w:t>
      </w:r>
      <w:r>
        <w:t xml:space="preserve">, it seems that the Bronze Age past possessed a significant cultural cachet mobilised by various actors over the lives of these cemeteries.</w:t>
      </w:r>
    </w:p>
    <w:p>
      <w:pPr>
        <w:pStyle w:val="BodyText"/>
      </w:pPr>
      <w:r>
        <w:t xml:space="preserve">The final mystery of the chronological sequence at the KNC and Fortetsa is the quite abrupt cessation of new burials around 630 BCE. There had been changes in tomb use in both cemeteries in the preceding century, with no new tombs built in Fortetsa, and few in the KNC, though interments in old tombs continued [</w:t>
      </w:r>
      <w:r>
        <w:t xml:space="preserve">Brock (1957)</w:t>
      </w:r>
      <w:r>
        <w:t xml:space="preserve">, 4;</w:t>
      </w:r>
      <w:r>
        <w:t xml:space="preserve"> </w:t>
      </w:r>
      <w:r>
        <w:t xml:space="preserve">Cavanagh (1996)</w:t>
      </w:r>
      <w:r>
        <w:t xml:space="preserve">; 651-3]. This curiosity has, along with the equally scanty evidence for the period in the wider settlement,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1999:301–2; Huxley 1994:126; Kotsonas 2002:41–4)</w:t>
      </w:r>
      <w:r>
        <w:t xml:space="preserve">, it seems there are now strong reasons to doubt the settlement was truly abandoned (Whitelaw, pers comm.).</w:t>
      </w:r>
    </w:p>
    <w:p>
      <w:pPr>
        <w:pStyle w:val="Heading2"/>
      </w:pPr>
      <w:bookmarkStart w:id="29" w:name="heroes-and-heirlooms-object-biographies-and-exceptional-burials"/>
      <w:bookmarkEnd w:id="29"/>
      <w:r>
        <w:t xml:space="preserve">Heroes and Heirlooms: Object Biographies and Exceptional Burials</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a term derived from Appadurai</w:t>
      </w:r>
      <w:r>
        <w:t xml:space="preserve"> </w:t>
      </w:r>
      <w:r>
        <w:t xml:space="preserve">(1986)</w:t>
      </w:r>
      <w:r>
        <w:t xml:space="preserve"> </w:t>
      </w:r>
      <w:r>
        <w:t xml:space="preserve">and Kopytoff</w:t>
      </w:r>
      <w:r>
        <w:t xml:space="preserve"> </w:t>
      </w:r>
      <w:r>
        <w:t xml:space="preserve">(1986)</w:t>
      </w:r>
      <w:r>
        <w:t xml:space="preserve">. Influenced by Mauss’</w:t>
      </w:r>
      <w:r>
        <w:t xml:space="preserve"> </w:t>
      </w:r>
      <w:r>
        <w:t xml:space="preserve">(1954)</w:t>
      </w:r>
      <w:r>
        <w:t xml:space="preserve"> </w:t>
      </w:r>
      <w:r>
        <w:t xml:space="preserve">formulation of</w:t>
      </w:r>
      <w:r>
        <w:t xml:space="preserve"> </w:t>
      </w:r>
      <w:r>
        <w:t xml:space="preserve">‘</w:t>
      </w:r>
      <w:r>
        <w:t xml:space="preserve">the gift</w:t>
      </w:r>
      <w:r>
        <w:t xml:space="preserve">’</w:t>
      </w:r>
      <w:r>
        <w:t xml:space="preserve">, these authors stressed the mutuable nature of an object’s social meanings, and its capacity for acquiring a</w:t>
      </w:r>
      <w:r>
        <w:t xml:space="preserve"> </w:t>
      </w:r>
      <w:r>
        <w:t xml:space="preserve">‘</w:t>
      </w:r>
      <w:r>
        <w:t xml:space="preserve">biography</w:t>
      </w:r>
      <w:r>
        <w:t xml:space="preserve">’</w:t>
      </w:r>
      <w:r>
        <w:t xml:space="preserve">, through the transformations of its social existence. In Aegean archaeology, these ideas proved attractive because of their resonance with the Homeric motif of gift-giving accompanied by accounts of an object’s illustrious heritage</w:t>
      </w:r>
      <w:r>
        <w:t xml:space="preserve"> </w:t>
      </w:r>
      <w:r>
        <w:t xml:space="preserve">(Whitley 2002:220–1)</w:t>
      </w:r>
      <w:r>
        <w:t xml:space="preserve">. It is hardly suprising that, when direct parallels for such objects have appeared archaeologically – such as the boar’s tusk helmet from Tomb 200+ and that given to Odysseus by Meriones (</w:t>
      </w:r>
      <w:r>
        <w:rPr>
          <w:i/>
        </w:rPr>
        <w:t xml:space="preserve">Iliad</w:t>
      </w:r>
      <w:r>
        <w:t xml:space="preserve"> </w:t>
      </w:r>
      <w:r>
        <w:t xml:space="preserve">10.260-271) – a particular interpretive lens, melding Homeric and anthropological ideas, has been applied to certain elaborate burials.</w:t>
      </w:r>
    </w:p>
    <w:p>
      <w:pPr>
        <w:pStyle w:val="BodyText"/>
      </w:pPr>
      <w:r>
        <w:t xml:space="preserve">Catling’s discussion of the T. 200+ complex is a notable example. Tomb 201 contained the remains of at least two adults, and possibly a child. The burial objects included a bronze sword, spearhead, and arrowhead, an iron dirk or knife, fragments of an antique bronze stand, probably of Cypriot origin, and pieces of the aforementioned BA-style boar’s tusk helmet</w:t>
      </w:r>
      <w:r>
        <w:t xml:space="preserve"> </w:t>
      </w:r>
      <w:r>
        <w:t xml:space="preserve">(Catling 1995:123)</w:t>
      </w:r>
      <w:r>
        <w:t xml:space="preserve">. Catling identifies similarities between this tomb and burials at Tiryns, Kaloriziki, and the famous</w:t>
      </w:r>
      <w:r>
        <w:t xml:space="preserve"> </w:t>
      </w:r>
      <w:r>
        <w:rPr>
          <w:i/>
        </w:rPr>
        <w:t xml:space="preserve">hērōön</w:t>
      </w:r>
      <w:r>
        <w:t xml:space="preserve"> </w:t>
      </w:r>
      <w:r>
        <w:t xml:space="preserve">of Lefkandi. All contained imported items at an early date, were of</w:t>
      </w:r>
      <w:r>
        <w:t xml:space="preserve"> </w:t>
      </w:r>
      <w:r>
        <w:t xml:space="preserve">‘</w:t>
      </w:r>
      <w:r>
        <w:t xml:space="preserve">warrior grave</w:t>
      </w:r>
      <w:r>
        <w:t xml:space="preserve">’</w:t>
      </w:r>
      <w:r>
        <w:t xml:space="preserve"> </w:t>
      </w:r>
      <w:r>
        <w:t xml:space="preserve">type, and formed loci for later burials. Catling argues that those individuals who dared to travel abroad in this time of more limited seafaring, accruing with precious artefacts and stories of distant lands –</w:t>
      </w:r>
      <w:r>
        <w:t xml:space="preserve"> </w:t>
      </w:r>
      <w:r>
        <w:t xml:space="preserve">‘</w:t>
      </w:r>
      <w:r>
        <w:t xml:space="preserve">heroes returned</w:t>
      </w:r>
      <w:r>
        <w:t xml:space="preserve">’</w:t>
      </w:r>
      <w:r>
        <w:t xml:space="preserve"> </w:t>
      </w:r>
      <w:r>
        <w:t xml:space="preserve">in Catling’s phrase – would have been accorded exceptional treatment in death</w:t>
      </w:r>
      <w:r>
        <w:t xml:space="preserve"> </w:t>
      </w:r>
      <w:r>
        <w:t xml:space="preserve">(Catling 1995)</w:t>
      </w:r>
      <w:r>
        <w:t xml:space="preserve">, 127–8].</w:t>
      </w:r>
    </w:p>
    <w:p>
      <w:pPr>
        <w:pStyle w:val="BodyText"/>
      </w:pPr>
      <w:r>
        <w:t xml:space="preserve">Complementing the theme of heroes abroad has been a similar degree of interest in foreigners at home. Two caches of gold jewellery, found in pits flanking the entrance to the Teke Tholos, were argued by Boardman</w:t>
      </w:r>
      <w:r>
        <w:t xml:space="preserve"> </w:t>
      </w:r>
      <w:r>
        <w:t xml:space="preserve">(1967)</w:t>
      </w:r>
      <w:r>
        <w:t xml:space="preserve"> </w:t>
      </w:r>
      <w:r>
        <w:t xml:space="preserve">to be foundation deposits – a known Near Eastern custom – for the burial place of an immigrant craftsman, probably Phoenician, practising his trade at Knossos. Kotsonas has revisited this attribution, suggesting that the tholos is more likely the resting place of an elite individual or family with a monopoly over a metal workshop’s output</w:t>
      </w:r>
      <w:r>
        <w:t xml:space="preserve"> </w:t>
      </w:r>
      <w:r>
        <w:t xml:space="preserve">(2006:155–9)</w:t>
      </w:r>
      <w:r>
        <w:t xml:space="preserve">. While certainty in such individual cases may be moot, it seems unlikely that traders or craftsmen of non-Cretan heritage never visited or resided at Knossos during the EIA</w:t>
      </w:r>
      <w:r>
        <w:t xml:space="preserve"> </w:t>
      </w:r>
      <w:r>
        <w:t xml:space="preserve">(Hoffman 1997:176–85; Schreiber 2003:293–306)</w:t>
      </w:r>
      <w:r>
        <w:t xml:space="preserve">.</w:t>
      </w:r>
    </w:p>
    <w:p>
      <w:pPr>
        <w:pStyle w:val="Heading2"/>
      </w:pPr>
      <w:bookmarkStart w:id="30" w:name="number-crunching-quantitative-analyses-of-the-cemeteries"/>
      <w:bookmarkEnd w:id="30"/>
      <w:r>
        <w:t xml:space="preserve">Number Crunching: Quantitative Analyses of the Cemeteries</w:t>
      </w:r>
    </w:p>
    <w:p>
      <w:pPr>
        <w:pStyle w:val="FirstParagraph"/>
      </w:pPr>
      <w:r>
        <w:t xml:space="preserve">Generally speaking, the above analyses have tended to rely more on particular finds, single tombs, or observable, but limited, patterns in the data to form their conclusions. A few authors have applied more quantative approaches, and these point toward their potential utility. Cluster analyses have been employed by both Cavanagh</w:t>
      </w:r>
      <w:r>
        <w:t xml:space="preserve"> </w:t>
      </w:r>
      <w:r>
        <w:t xml:space="preserve">(1996:653–7)</w:t>
      </w:r>
      <w:r>
        <w:t xml:space="preserve"> </w:t>
      </w:r>
      <w:r>
        <w:t xml:space="preserve">and Antoniadis</w:t>
      </w:r>
      <w:r>
        <w:t xml:space="preserve"> </w:t>
      </w:r>
      <w:r>
        <w:t xml:space="preserve">(2012:193–7)</w:t>
      </w:r>
      <w:r>
        <w:t xml:space="preserve">, the most sophisticated statistical techniques so far applied to the present material. Cavanagh’s analysis of tomb architecture has been mentioned, while Antoniadis’ more holistic approach corroborates quantitatively some of the intuitive correspondences noted between specific tombs in previous studies. Antoniadis</w:t>
      </w:r>
      <w:r>
        <w:t xml:space="preserve"> </w:t>
      </w:r>
      <w:r>
        <w:t xml:space="preserve">(2012:172–6)</w:t>
      </w:r>
      <w:r>
        <w:t xml:space="preserve">, in his study of Oriental imports, also divided the EIA tombs of Knossos into three groups, those with fewer than 10 pots, fewer than 50, and more than 50, and found that, in each successive case, the proportions of tombs containing imports and Oriental imitations increased. The implication is that a hierarchy existed, with differing degrees of control over the accumulation of prestigious goods. That said, the relationship between such items and tomb</w:t>
      </w:r>
      <w:r>
        <w:t xml:space="preserve"> </w:t>
      </w:r>
      <w:r>
        <w:t xml:space="preserve">‘</w:t>
      </w:r>
      <w:r>
        <w:t xml:space="preserve">wealth</w:t>
      </w:r>
      <w:r>
        <w:t xml:space="preserve">’</w:t>
      </w:r>
      <w:r>
        <w:t xml:space="preserve"> </w:t>
      </w:r>
      <w:r>
        <w:t xml:space="preserve">is examined critically in the present work, and may prove more complex than Antoniadis implies.</w:t>
      </w:r>
    </w:p>
    <w:p>
      <w:pPr>
        <w:pStyle w:val="Heading1"/>
      </w:pPr>
      <w:bookmarkStart w:id="31" w:name="methods"/>
      <w:bookmarkEnd w:id="31"/>
      <w:r>
        <w:t xml:space="preserve">Methods</w:t>
      </w:r>
    </w:p>
    <w:p>
      <w:pPr>
        <w:pStyle w:val="Heading2"/>
      </w:pPr>
      <w:bookmarkStart w:id="32" w:name="databases"/>
      <w:bookmarkEnd w:id="32"/>
      <w:r>
        <w:t xml:space="preserve">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database includes an entry for each individual ceramic vessel, by far the largest portion of all known finds. Each entry includes: the tomb from which the vessel came; the vessel shape; whether it was an open or closed vessel; its main dimensions; its ceramic period and corresponding absolute dating measures (see below). In addition, all imports, Oriental imitations, and antique (that is, Bronze Age) artefacts were accordingly categorised, using the studies of Antoniadis (2012), Jones (2000), and Crowe (2016) to supplement omissions in the original excavation reports. In total, this database comprised just over 4540 individual artefacts.</w:t>
      </w:r>
    </w:p>
    <w:p>
      <w:pPr>
        <w:pStyle w:val="BodyText"/>
      </w:pPr>
      <w:r>
        <w:t xml:space="preserve">The second database is similar, but with each entry corresponding to a find other than a ceramic vessel. The categories remained the same as in the pottery database, but with the addition of a</w:t>
      </w:r>
      <w:r>
        <w:t xml:space="preserve"> </w:t>
      </w:r>
      <w:r>
        <w:t xml:space="preserve">‘</w:t>
      </w:r>
      <w:r>
        <w:t xml:space="preserve">material</w:t>
      </w:r>
      <w:r>
        <w:t xml:space="preserve">’</w:t>
      </w:r>
      <w:r>
        <w:t xml:space="preserve"> </w:t>
      </w:r>
      <w:r>
        <w:t xml:space="preserve">variable, as of course these finds were not all made of the same substance. This database included some 1620 individual artefacts.</w:t>
      </w:r>
      <w:r>
        <w:t xml:space="preserve"> </w:t>
      </w:r>
      <w:r>
        <w:t xml:space="preserve">The final database concerns the tombs themselves. Each of the 134 tombs was accorded its own entry, with variables including dating (both in relative and absolute terms), surviving dimensions, and the known and estimated number of interments. Each entry also included a tally of the objects recorded in the other two databases. These tallies were arranged by shape for the pottery, and by material and category (e.g. weapon, adornment, seal, funerary paraphernalia) for the other objects. Finally, the total number of imports, imitations and antiques in each tomb was calculated.</w:t>
      </w:r>
    </w:p>
    <w:p>
      <w:pPr>
        <w:pStyle w:val="BodyText"/>
      </w:pPr>
      <w:r>
        <w:t xml:space="preserve">Taken together, these databases constitute a detailed record of all the finds from the Fortetsa and KNC excavations, and offer the opportunity for carrying out a range of robust quantitative analyses. It must be conceded that, with many of the tombs evidently looted, dug into or destroyed over the centuries, this cannot be a complete picture of the tombs’ original contents. If we assume, though, that natural or accidental destruction was relatively indiscriminate, and that, even in cases of looting, certain object classes (particularly cinerary urns) were seldom robbed, then the data are by no means rendered useless. As Snodgrass (1996) notes, the situation means we should be extremely cautious about making negative arguments – that is, conclusions drawn about the lack of features in certain tombs – but may be somewhat more hopeful in the forming of positive ones.</w:t>
      </w:r>
    </w:p>
    <w:p>
      <w:pPr>
        <w:pStyle w:val="Heading2"/>
      </w:pPr>
      <w:bookmarkStart w:id="33" w:name="reproducibility-and-data-sharing"/>
      <w:bookmarkEnd w:id="33"/>
      <w:r>
        <w:t xml:space="preserve">Reproducibility and data-sharing</w:t>
      </w:r>
    </w:p>
    <w:p>
      <w:pPr>
        <w:pStyle w:val="FirstParagraph"/>
      </w:pPr>
      <w:r>
        <w:t xml:space="preserve">An ever-growing number of archaeologists have begun to advocate the utility, indeed the necessity, of making available not just the data underpinning their professional output, but the full methodologies by which their analyses were conducted, and in formats which facilitate reproducibilty and further investigation. It is felt that, with the opportunities afforded by current technologies (digital databases, statistical software packages, online repositories etc.), there remain ever fewer obstacles - and excuses - preventing the full and free sharing of both data and workflows. In Marwick’s words</w:t>
      </w:r>
      <w:r>
        <w:t xml:space="preserve"> </w:t>
      </w:r>
      <w:r>
        <w:t xml:space="preserve">(2017:445)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is not the place for a detailed investigation into the lack of reproducible research in archaeology (for this, see …). Suffice it to say the problem exists, though, granted, gradual progress is being spearheaded by some. This article is, among other things, an attempt to bring these principles of maximal reproducibility to the archaeology of Early Iron Age Crete. Within this field, catalogues and excavation reports abound and, though many of these may be forgiven based on their dates of publication, the lack of readily utilisable digital data from a number of recent articles and monographs, indeed, the failure to even present the data such that they could be manually digitsed, is less pardonable. Preparation of databases such as those of the present study can (and did) involve prolongued trawling of printed tables (often without consistent formatting, coding or presentation which would enable easy digitisation), cross-referencing artefacts listed inconsistently in different contexts, or else grappling with catalogues which, through their unexplained lack of certain critical information (e.g. coordinates in site catalogues), offer little research potential beyond their descriptive face-value.</w:t>
      </w:r>
    </w:p>
    <w:p>
      <w:pPr>
        <w:pStyle w:val="BodyText"/>
      </w:pPr>
      <w:r>
        <w:t xml:space="preserve">There are, of course, complications to the sharing of data and methods. There are real and valid reservations around issues of copyright, the protection of sites from looting, the possibility of being scooped with one’s own data, or simply the significant investment of time demanded by the preparation of open-access research. But I would argue that the potential gains outweigh these concerns, and that research on the EIA would benefit greatly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an open-source package for the statistical software R Studio, which provides the author with the tools to create a self-contained</w:t>
      </w:r>
      <w:r>
        <w:t xml:space="preserve"> </w:t>
      </w:r>
      <w:r>
        <w:t xml:space="preserve">“</w:t>
      </w:r>
      <w:r>
        <w:t xml:space="preserve">compendium</w:t>
      </w:r>
      <w:r>
        <w:t xml:space="preserve">”</w:t>
      </w:r>
      <w:r>
        <w:t xml:space="preserve">, which can be freely downloaded, and from which anyone can accurately reproduce the entire workflow of the present analysis. This analysis was conducted in R, and the full code, as well as the raw and derived datasets, complete bibliography (in BibTex format, for export to any major reference manager), figures, and article as originally submitted to this journal are included in the package. It can be downloaded as a repository from GitHub, at the following address:</w:t>
      </w:r>
      <w:r>
        <w:t xml:space="preserve"> </w:t>
      </w:r>
      <w:hyperlink r:id="rId34">
        <w:r>
          <w:rPr>
            <w:rStyle w:val="Hyperlink"/>
          </w:rPr>
          <w:t xml:space="preserve">https://github.com/DCPollard94/knossoscemeteries</w:t>
        </w:r>
      </w:hyperlink>
      <w:r>
        <w:t xml:space="preserve">, and the raw datasets have been stored with the online repository Figshare, here:</w:t>
      </w:r>
    </w:p>
    <w:p>
      <w:pPr>
        <w:pStyle w:val="BodyText"/>
      </w:pPr>
      <w:r>
        <w:t xml:space="preserve">Though not visible in the present paper, every figure and table herein was produced directly, through written code, from the raw data using R. The full code can be viewed and followed by downloading the repository from GitHub, and all the data are made available through an MIT license, which permits unlimited use, ammendation, and dissemination thereof, yet frees the present author from any responsibilty for that use, or for any perceived errors or inaccuracies in the data. It is sincerely hoped that others may find interest in, and themselves further explore and expand upon the research presented here, by downloading this compedium.</w:t>
      </w:r>
    </w:p>
    <w:p>
      <w:pPr>
        <w:pStyle w:val="Heading2"/>
      </w:pPr>
      <w:bookmarkStart w:id="35" w:name="estimating-interments"/>
      <w:bookmarkEnd w:id="35"/>
      <w:r>
        <w:t xml:space="preserve">Estimating interments</w:t>
      </w:r>
    </w:p>
    <w:p>
      <w:pPr>
        <w:pStyle w:val="FirstParagraph"/>
      </w:pPr>
      <w:r>
        <w:t xml:space="preserve">A first important step in preparing the data for analysis was the estimation of the number of individuals buried in each tomb. The method chosen for this estimation broadly follows that of Cavanagh</w:t>
      </w:r>
      <w:r>
        <w:t xml:space="preserve"> </w:t>
      </w:r>
      <w:r>
        <w:t xml:space="preserve">(1996:659–660)</w:t>
      </w:r>
      <w:r>
        <w:t xml:space="preserve">, who took the number of pithoi (the most common urn type) and the number of pithoi, amphorae and kraters (which were in some cases used as urns) as middle and upper estimates of the number of interments, with all securely identified interments (in the form of ashes or osteological material) being the lower limit (Figure</w:t>
      </w:r>
      <w:r>
        <w:t xml:space="preserve"> </w:t>
      </w:r>
      <w:r>
        <w:t xml:space="preserve">2</w:t>
      </w:r>
      <w:r>
        <w:t xml:space="preserve">). In the present study, the mean of these three estimates was taken, to provide a single aggregate measure for the purposes of analysis (where no interments were known, this variable was still assigned a value of</w:t>
      </w:r>
      <w:r>
        <w:t xml:space="preserve"> </w:t>
      </w:r>
      <w:r>
        <w:t xml:space="preserve">“</w:t>
      </w:r>
      <w:r>
        <w:t xml:space="preserve">1</w:t>
      </w:r>
      <w:r>
        <w:t xml:space="preserve">”</w:t>
      </w:r>
      <w:r>
        <w:t xml:space="preserve">, for all tombs must have contained at least one burial).</w:t>
      </w:r>
    </w:p>
    <w:p>
      <w:pPr>
        <w:pStyle w:val="FigureWithCaption"/>
      </w:pPr>
      <w:r>
        <w:drawing>
          <wp:inline>
            <wp:extent cx="5943600" cy="3396342"/>
            <wp:effectExtent b="0" l="0" r="0" t="0"/>
            <wp:docPr descr="Figure 2 Relationship between known interments, counts of pithoi, and counts of pithoi, amphorae and kraters. The straight line represents the mean estimate based on these three values." title="" id="1" name="Picture"/>
            <a:graphic>
              <a:graphicData uri="http://schemas.openxmlformats.org/drawingml/2006/picture">
                <pic:pic>
                  <pic:nvPicPr>
                    <pic:cNvPr descr="../figures/burialestimate-1.png" id="0" name="Picture"/>
                    <pic:cNvPicPr>
                      <a:picLocks noChangeArrowheads="1" noChangeAspect="1"/>
                    </pic:cNvPicPr>
                  </pic:nvPicPr>
                  <pic:blipFill>
                    <a:blip r:embed="rId3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Relationship between known interments, counts of pithoi, and counts of pithoi, amphorae and kraters. The straight line represents the mean estimate based on these three values.</w:t>
      </w:r>
    </w:p>
    <w:p>
      <w:pPr>
        <w:pStyle w:val="BodyText"/>
      </w:pPr>
      <w:r>
        <w:t xml:space="preserve">For most diachronic analyses, however, pithoi alone were taken as the best proxy for burial numbers. In most cases, and often simply by virtue of the methods employed, any tombs lacking identified remains or a single vessel suitable for use as an urn were not considered, thus excluding what are presumably among the most heavily damaged and looted tombs.</w:t>
      </w:r>
    </w:p>
    <w:p>
      <w:pPr>
        <w:pStyle w:val="Heading2"/>
      </w:pPr>
      <w:bookmarkStart w:id="37" w:name="aoristic-approaches-to-dating"/>
      <w:bookmarkEnd w:id="37"/>
      <w:r>
        <w:t xml:space="preserve">Aoristic approaches to dating</w:t>
      </w:r>
    </w:p>
    <w:p>
      <w:pPr>
        <w:pStyle w:val="FirstParagraph"/>
      </w:pPr>
      <w:r>
        <w:t xml:space="preserve">A central concern of the present study was how to deal with the temporal uncertainty implicit within the assigning of individual vessels to stylistically-defined periods. A vessel dated to the Protogeometric B period could, on our best estimates of absolute chronology, date to any point between 840 and 810 BC. This situation results in major challenges to the visualisation and analysis of such data through mean which normally rely on event- and not range-based data inputs. A simple, if unsatisfying, solution is to use the midpoint of the range assigned to each vessel (i.e. 825 for our PGB example). This method is used in a couple of instances in the present paper when the course-grained sorting of the data (into 50 year periods) renders the inaccuracies of such a method less significant.</w:t>
      </w:r>
    </w:p>
    <w:p>
      <w:pPr>
        <w:pStyle w:val="FigureWithCaption"/>
      </w:pPr>
      <w:r>
        <w:drawing>
          <wp:inline>
            <wp:extent cx="5943600" cy="3396342"/>
            <wp:effectExtent b="0" l="0" r="0" t="0"/>
            <wp:docPr descr="Figure 3 Counts of pithoi across both cemeteries through time. Vessel dates have here been based on the midpoint of the absolute date range accompanying their respective ceramic periods." title="" id="1" name="Picture"/>
            <a:graphic>
              <a:graphicData uri="http://schemas.openxmlformats.org/drawingml/2006/picture">
                <pic:pic>
                  <pic:nvPicPr>
                    <pic:cNvPr descr="../figures/allpithoi-1.png" id="0" name="Picture"/>
                    <pic:cNvPicPr>
                      <a:picLocks noChangeArrowheads="1" noChangeAspect="1"/>
                    </pic:cNvPicPr>
                  </pic:nvPicPr>
                  <pic:blipFill>
                    <a:blip r:embed="rId3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3 Counts of pithoi across both cemeteries through time. Vessel dates have here been based on the midpoint of the absolute date range accompanying their respective ceramic periods.</w:t>
      </w:r>
    </w:p>
    <w:p>
      <w:pPr>
        <w:pStyle w:val="BodyText"/>
      </w:pPr>
      <w:r>
        <w:t xml:space="preserve">But the artificial clustering this technique engenders around select absolute dates proves misleading when, for instance, the total number of pithoi deposited by date are plotted via a histogram (Figure</w:t>
      </w:r>
      <w:r>
        <w:t xml:space="preserve"> </w:t>
      </w:r>
      <w:r>
        <w:t xml:space="preserve">3</w:t>
      </w:r>
      <w:r>
        <w:t xml:space="preserve">); the apparent cessation of burial activity for 30 years in the 8th century, followed by the most intense episode of deposition yet seen, is simply a fiction generated by the processing of the data.</w:t>
      </w:r>
    </w:p>
    <w:p>
      <w:pPr>
        <w:pStyle w:val="BodyText"/>
      </w:pPr>
      <w:r>
        <w:t xml:space="preserve">A alternative way of dealing with temporal uncertainty, and the method employed extensively in this paper, is the use of so-called</w:t>
      </w:r>
      <w:r>
        <w:t xml:space="preserve"> </w:t>
      </w:r>
      <w:r>
        <w:t xml:space="preserve">“</w:t>
      </w:r>
      <w:r>
        <w:t xml:space="preserve">aoristic analysis</w:t>
      </w:r>
      <w:r>
        <w:t xml:space="preserve">”</w:t>
      </w:r>
      <w:r>
        <w:t xml:space="preserve"> </w:t>
      </w:r>
      <w:r>
        <w:t xml:space="preserve">(for original use in criminology, see Ratcliffe 2000; for archaeological applications, see Crema et al. 2010; Crema 2012; Johnson 2004)</w:t>
      </w:r>
      <w:r>
        <w:t xml:space="preserve">. Here, rather than assign a pot a single date, the entire time span under investigation is divided into equal chunks (in this case, decades), and probability values summing to 1 are then assigned for each vessel, per chunk of time, based on its accordant date range. So, our PGB vessel, datable between 840 and 810 BC would register a value of 0.33 for each of the three decades within which we it could theoretically have been produced. These values for individual vessels can can then simply be summed to produce tomb- or cemetery-level signatures. The major contribution of this method (though it too creates problems; see</w:t>
      </w:r>
      <w:r>
        <w:t xml:space="preserve"> </w:t>
      </w:r>
      <w:r>
        <w:t xml:space="preserve">Crema et al. (2010)</w:t>
      </w:r>
      <w:r>
        <w:t xml:space="preserve">, 1123-1124)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2004:450)</w:t>
      </w:r>
      <w:r>
        <w:t xml:space="preserve">.</w:t>
      </w:r>
    </w:p>
    <w:p>
      <w:pPr>
        <w:pStyle w:val="FigureWithCaption"/>
      </w:pPr>
      <w:r>
        <w:drawing>
          <wp:inline>
            <wp:extent cx="5943600" cy="3396342"/>
            <wp:effectExtent b="0" l="0" r="0" t="0"/>
            <wp:docPr descr="Figure 4 Aoristic sums of all vessels across both cemeteries. This represents a probabilistically weighted visualisation of depositional activity through time." title="" id="1" name="Picture"/>
            <a:graphic>
              <a:graphicData uri="http://schemas.openxmlformats.org/drawingml/2006/picture">
                <pic:pic>
                  <pic:nvPicPr>
                    <pic:cNvPr descr="../figures/aoristallcems-1.png" id="0" name="Picture"/>
                    <pic:cNvPicPr>
                      <a:picLocks noChangeArrowheads="1" noChangeAspect="1"/>
                    </pic:cNvPicPr>
                  </pic:nvPicPr>
                  <pic:blipFill>
                    <a:blip r:embed="rId3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Aoristic sums of all vessels across both cemeteries. This represents a probabilistically weighted visualisation of depositional activity through time.</w:t>
      </w:r>
    </w:p>
    <w:p>
      <w:pPr>
        <w:pStyle w:val="BodyText"/>
      </w:pPr>
      <w:r>
        <w:t xml:space="preserve">As seen in Figure</w:t>
      </w:r>
      <w:r>
        <w:t xml:space="preserve"> </w:t>
      </w:r>
      <w:r>
        <w:t xml:space="preserve">4</w:t>
      </w:r>
      <w:r>
        <w:t xml:space="preserve">, the artificial peaks and troughs of the simple averaging method are avoided, and different patterns become visible. Though these methods present their own limitations, which will be explored in the following sections, they are considered a more robust and productive approach to the temporal uncertainty of ceramic dating and, as such, are used for much of the present analysis.</w:t>
      </w:r>
    </w:p>
    <w:p>
      <w:pPr>
        <w:pStyle w:val="Heading2"/>
      </w:pPr>
      <w:bookmarkStart w:id="40" w:name="theory-and-method"/>
      <w:bookmarkEnd w:id="40"/>
      <w:r>
        <w:t xml:space="preserve">Theory and method</w:t>
      </w:r>
    </w:p>
    <w:p>
      <w:pPr>
        <w:pStyle w:val="FirstParagraph"/>
      </w:pPr>
      <w:r>
        <w:t xml:space="preserve">Before proceeding to the main discussion, it should be stressed that, though I hope to demonstrate the power of quantitative and statistical approaches to the mortuary record, data-points cannot replace description, and theory must not be absent in the use of such methods. Quantifications and statistical analyses should, ideally, be employed as tools for the development and exploration of theoretically-informed models of social practice. Throughout the following analysis, I aim to link the observed patterning in the material back to possible forms of human behaviour, which in turn guides the focus of subsequent analyses, and so on. It is hoped that the value of such an approach will become clear.</w:t>
      </w:r>
    </w:p>
    <w:p>
      <w:pPr>
        <w:pStyle w:val="Heading1"/>
      </w:pPr>
      <w:bookmarkStart w:id="41" w:name="analysis"/>
      <w:bookmarkEnd w:id="41"/>
      <w:r>
        <w:t xml:space="preserve">Analysis</w:t>
      </w:r>
    </w:p>
    <w:p>
      <w:pPr>
        <w:pStyle w:val="Heading2"/>
      </w:pPr>
      <w:bookmarkStart w:id="42" w:name="introduction-1"/>
      <w:bookmarkEnd w:id="42"/>
      <w:r>
        <w:t xml:space="preserve">Introduction</w:t>
      </w:r>
    </w:p>
    <w:p>
      <w:pPr>
        <w:pStyle w:val="FirstParagraph"/>
      </w:pPr>
      <w:r>
        <w:t xml:space="preserve">The great advantage of the large, quantitative data set compiled for the present analysis is that it permits investigation of several nested levels of potentially significant patterning in the material. From individual burials, to collective tombs, to the cemeteries as a whole, and between cemeteries in the landscape, we have the opportunity to study and compare both the synchronic and diachronic variation across these various levels. The following analysis is divided broadly into these two distinct, though complementary, perspectives. I consider, firstly, how temporal variations in the material may relate to broader social dynamics and, secondly, how the form and content of the tombs and their assemblages can enrich the schematic picture derived from the chronological patterns. Taken together, these two approaches enable us to develop a nuanced account of the changing social landscape of EIA Knossos, drawing together issues of group identity, external relations, and the communication of wealth and status through funerary practice.</w:t>
      </w:r>
    </w:p>
    <w:p>
      <w:pPr>
        <w:pStyle w:val="Heading2"/>
      </w:pPr>
      <w:bookmarkStart w:id="43" w:name="temporal-variation-in-the-knossian-cemeteries"/>
      <w:bookmarkEnd w:id="43"/>
      <w:r>
        <w:t xml:space="preserve">Temporal variation in the Knossian Cemeteries</w:t>
      </w:r>
    </w:p>
    <w:p>
      <w:pPr>
        <w:pStyle w:val="FirstParagraph"/>
      </w:pPr>
      <w:r>
        <w:t xml:space="preserve">An obvious place to begin is with the chronology of the burials themselves. The rate and number of burials being made through time provides the background against which to consider all other developments.</w:t>
      </w:r>
    </w:p>
    <w:p>
      <w:pPr>
        <w:pStyle w:val="FigureWithCaption"/>
      </w:pPr>
      <w:r>
        <w:drawing>
          <wp:inline>
            <wp:extent cx="5943600" cy="2971800"/>
            <wp:effectExtent b="0" l="0" r="0" t="0"/>
            <wp:docPr descr="Figure 5 Aorist sums of pithoi (left) as a proxy for cremation burials, and all vessels (right). The sums are colour coded to show the values of the two cemeteries, and the total values." title="" id="1" name="Picture"/>
            <a:graphic>
              <a:graphicData uri="http://schemas.openxmlformats.org/drawingml/2006/picture">
                <pic:pic>
                  <pic:nvPicPr>
                    <pic:cNvPr descr="../figures/aoristbycem-1.png" id="0" name="Picture"/>
                    <pic:cNvPicPr>
                      <a:picLocks noChangeArrowheads="1" noChangeAspect="1"/>
                    </pic:cNvPicPr>
                  </pic:nvPicPr>
                  <pic:blipFill>
                    <a:blip r:embed="rId4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Aorist sums of pithoi (left) as a proxy for cremation burials, and all vessels (right). The sums are colour coded to show the values of the two cemeteries, and the total values.</w:t>
      </w:r>
    </w:p>
    <w:p>
      <w:pPr>
        <w:pStyle w:val="BodyText"/>
      </w:pPr>
      <w:r>
        <w:t xml:space="preserve">Figure</w:t>
      </w:r>
      <w:r>
        <w:t xml:space="preserve"> </w:t>
      </w:r>
      <w:r>
        <w:t xml:space="preserve">5</w:t>
      </w:r>
      <w:r>
        <w:t xml:space="preserve"> </w:t>
      </w:r>
      <w:r>
        <w:t xml:space="preserve">presents the aoristic sums of pithoi (as a proxy for burials) and of all vessels, respectively. Immediately apparent are the broad correspondences between both cemeteries. Despite differences in scale and timing, we can see the Fortetsa and Knossos North Cemeteries experieced similar chronological developments in the volume of burials and, to a slightly lesser degree, grave goods. In both cemeteries, the rate of cremation burial began rising around the end of the 9th century, plateaued slightly in the early 8th, and then rose again to a peak in the late 8th and early 7th centuries. Across all vessels, the developments are more volatile, but again there was growth beginning in the later 10th century - reaching an especially marked peak in the KNC by the end of the 9th - then a slight decline and levelling into the 8th century, before a final early 7th century flourit of depositional activity.</w:t>
      </w:r>
    </w:p>
    <w:p>
      <w:pPr>
        <w:pStyle w:val="BodyText"/>
      </w:pPr>
      <w:r>
        <w:t xml:space="preserve">The near total absence of pithoi from the 11th and early 10th centuries reflects the delayed onset of cremation burial, with inhumations representing a significant proportion of earlier interments. Nonetheless, the clear inference would appear to be that, at both cemeteries, the late 8th and early 7th centuries witnessed an unprecedented level of burial activity, something which makes the sudden and total decline of chamber-tomb burials around 630 BC even more notable. We might assume that these developments would be mirrored in the construction of new tombs, but this proves not to be the case.</w:t>
      </w:r>
    </w:p>
    <w:p>
      <w:pPr>
        <w:pStyle w:val="FigureWithCaption"/>
      </w:pPr>
      <w:r>
        <w:drawing>
          <wp:inline>
            <wp:extent cx="5943600" cy="3169919"/>
            <wp:effectExtent b="0" l="0" r="0" t="0"/>
            <wp:docPr descr="Figure 6 Visulations of tomb construction through time at both cemeteries. On the left are counts based on the earliest dated pottery in each tomb, while on the left are aoristic sums likewise based on the earliest ceramic-based assignations. In both cases, tombs lacking any securely dateable pottery (i.e. N/As) are excluded." title="" id="1" name="Picture"/>
            <a:graphic>
              <a:graphicData uri="http://schemas.openxmlformats.org/drawingml/2006/picture">
                <pic:pic>
                  <pic:nvPicPr>
                    <pic:cNvPr descr="../figures/tombconstruction-1.png" id="0" name="Picture"/>
                    <pic:cNvPicPr>
                      <a:picLocks noChangeArrowheads="1" noChangeAspect="1"/>
                    </pic:cNvPicPr>
                  </pic:nvPicPr>
                  <pic:blipFill>
                    <a:blip r:embed="rId45"/>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Figure 6 Visulations of tomb construction through time at both cemeteries. On the left are counts based on the earliest dated pottery in each tomb, while on the left are aoristic sums likewise based on the earliest ceramic-based assignations. In both cases, tombs lacking any securely dateable pottery (i.e. N/As) are excluded.</w:t>
      </w:r>
    </w:p>
    <w:p>
      <w:pPr>
        <w:pStyle w:val="BodyText"/>
      </w:pPr>
      <w:r>
        <w:t xml:space="preserve">Figure</w:t>
      </w:r>
      <w:r>
        <w:t xml:space="preserve"> </w:t>
      </w:r>
      <w:r>
        <w:t xml:space="preserve">6</w:t>
      </w:r>
      <w:r>
        <w:t xml:space="preserve"> </w:t>
      </w:r>
      <w:r>
        <w:t xml:space="preserve">presents two ways of dating the construction of the tombs. On the left, counts are presented, based on the ceramic phase considered most likely to correspond to the tomb’s first use, including the broad labels</w:t>
      </w:r>
      <w:r>
        <w:t xml:space="preserve"> </w:t>
      </w:r>
      <w:r>
        <w:t xml:space="preserve">“</w:t>
      </w:r>
      <w:r>
        <w:t xml:space="preserve">PG</w:t>
      </w:r>
      <w:r>
        <w:t xml:space="preserve">”</w:t>
      </w:r>
      <w:r>
        <w:t xml:space="preserve">,</w:t>
      </w:r>
      <w:r>
        <w:t xml:space="preserve"> </w:t>
      </w:r>
      <w:r>
        <w:t xml:space="preserve">“</w:t>
      </w:r>
      <w:r>
        <w:t xml:space="preserve">G</w:t>
      </w:r>
      <w:r>
        <w:t xml:space="preserve">”</w:t>
      </w:r>
      <w:r>
        <w:t xml:space="preserve"> </w:t>
      </w:r>
      <w:r>
        <w:t xml:space="preserve">and</w:t>
      </w:r>
      <w:r>
        <w:t xml:space="preserve"> </w:t>
      </w:r>
      <w:r>
        <w:t xml:space="preserve">“</w:t>
      </w:r>
      <w:r>
        <w:t xml:space="preserve">O</w:t>
      </w:r>
      <w:r>
        <w:t xml:space="preserve">”</w:t>
      </w:r>
      <w:r>
        <w:t xml:space="preserve"> </w:t>
      </w:r>
      <w:r>
        <w:t xml:space="preserve">where no greater specificity is possible. On the right, aoristic sums are presented, and essentially represent the spreading of the uncertainty associated with those general assignations across the sub-periods they encompass. In both cases, the trend appears clear. The North Cemetery began with a rash of building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next to no new chamber tomb construction from the 8th century onwards. In both cases, then, the rates of tomb building run counter the late 8th-early 7th century spate of burial activity. These countervalent trends present a number of interpretive problems. The abatement of chamber tomb construction has been noted before (Brock 1957, 4; Cavanagh 1996, 652–3) and has been somewhat implicitly read as evidence of restructuring of the funerary rite, if not a decline in the fortunes of the wider community. But this image of a waigning investment in chamber burials sits uneasily with the apparent growth in mortuary activity suggested by both counts of artefacts, and estimates of the number of tombs in use in each period.</w:t>
      </w:r>
    </w:p>
    <w:p>
      <w:pPr>
        <w:pStyle w:val="FigureWithCaption"/>
      </w:pPr>
      <w:r>
        <w:drawing>
          <wp:inline>
            <wp:extent cx="5943600" cy="3396342"/>
            <wp:effectExtent b="0" l="0" r="0" t="0"/>
            <wp:docPr descr="Figure 7 Estimates of the number of tombs in use during each of the ceramic phases attested in both cemetaries." title="" id="1" name="Picture"/>
            <a:graphic>
              <a:graphicData uri="http://schemas.openxmlformats.org/drawingml/2006/picture">
                <pic:pic>
                  <pic:nvPicPr>
                    <pic:cNvPr descr="../figures/tombsinuse-1.png" id="0" name="Picture"/>
                    <pic:cNvPicPr>
                      <a:picLocks noChangeArrowheads="1" noChangeAspect="1"/>
                    </pic:cNvPicPr>
                  </pic:nvPicPr>
                  <pic:blipFill>
                    <a:blip r:embed="rId4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Estimates of the number of tombs in use during each of the ceramic phases attested in both cemetaries.</w:t>
      </w:r>
    </w:p>
    <w:p>
      <w:pPr>
        <w:pStyle w:val="BodyText"/>
      </w:pPr>
      <w:r>
        <w:t xml:space="preserve">Figure</w:t>
      </w:r>
      <w:r>
        <w:t xml:space="preserve"> </w:t>
      </w:r>
      <w:r>
        <w:t xml:space="preserve">7</w:t>
      </w:r>
      <w:r>
        <w:t xml:space="preserve"> </w:t>
      </w:r>
      <w:r>
        <w:t xml:space="preserve">presents the estimated number of tombs in use throughout the EIA at both cemeteries, that is, the number of tombs which yielded pottery of each period. At the Forteta, this number remained rlatively stable from the MPG to LG periods before declining (and bear in mind, there are only around 20 tombs belonging to this cemetery throughout the period), while at the KNC, the numbers of tombs in use rose to a preak in the late 8th century before declining. The cessation of burials there certainly appears more sudden and marked than at Fortetsa, though, again, it was always a larger cemetery. But with the data available, we can interrogate these trends further.</w:t>
      </w:r>
    </w:p>
    <w:p>
      <w:pPr>
        <w:pStyle w:val="FigureWithCaption"/>
      </w:pPr>
      <w:r>
        <w:drawing>
          <wp:inline>
            <wp:extent cx="5943600" cy="3396342"/>
            <wp:effectExtent b="0" l="0" r="0" t="0"/>
            <wp:docPr descr="Figure 8 Estimates of the number of tombs in use through time across both cemeteries. The grey background represents the total number of tombs in use in each period, while the smaller coloured bars correspond to tombs built in each of the five centuries of EIA activity at the cemeteries." title="" id="1" name="Picture"/>
            <a:graphic>
              <a:graphicData uri="http://schemas.openxmlformats.org/drawingml/2006/picture">
                <pic:pic>
                  <pic:nvPicPr>
                    <pic:cNvPr descr="../figures/tombsinusebybuilddate-1.png" id="0" name="Picture"/>
                    <pic:cNvPicPr>
                      <a:picLocks noChangeArrowheads="1" noChangeAspect="1"/>
                    </pic:cNvPicPr>
                  </pic:nvPicPr>
                  <pic:blipFill>
                    <a:blip r:embed="rId4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Estimates of the number of tombs in use through time across both cemeteries. The grey background represents the total number of tombs in use in each period, while the smaller coloured bars correspond to tombs built in each of the five centuries of EIA activity at the cemeteries.</w:t>
      </w:r>
    </w:p>
    <w:p>
      <w:pPr>
        <w:pStyle w:val="BodyText"/>
      </w:pPr>
      <w:r>
        <w:t xml:space="preserve">Figure</w:t>
      </w:r>
      <w:r>
        <w:t xml:space="preserve"> </w:t>
      </w:r>
      <w:r>
        <w:t xml:space="preserve">8</w:t>
      </w:r>
      <w:r>
        <w:t xml:space="preserve"> </w:t>
      </w:r>
      <w:r>
        <w:t xml:space="preserve">presents the number of tombs in use in each period, divided by the centuries in which those tombs were constructed, all overlaid on the total number of tombs in use across both cemeteries. Perhaps unsurprisingly, a wave-like pattern can be observed with each century marked by the construction of new tombs which then steadily go out of use, as new ones are built. This would seem to accord with Cavanagh’s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perhaps even that this access was lineally inehrited, leading to frequent fission and, thus, limited trans-generational use. However, something else is going here, which can only be appreciated by considering which tombs became the focus of the intense period of depositional activity in the late 8th and erly 7th centuries.</w:t>
      </w:r>
    </w:p>
    <w:p>
      <w:pPr>
        <w:pStyle w:val="FigureWithCaption"/>
      </w:pPr>
      <w:r>
        <w:drawing>
          <wp:inline>
            <wp:extent cx="5943600" cy="3396342"/>
            <wp:effectExtent b="0" l="0" r="0" t="0"/>
            <wp:docPr descr="Figure 9 Counts of vessels from across all tombs in both cemeteries, arranged, on the left, by the century to which they are assigned based on their ceramic period and, on the right, by the centuries in which the tombs they come from were built." title="" id="1" name="Picture"/>
            <a:graphic>
              <a:graphicData uri="http://schemas.openxmlformats.org/drawingml/2006/picture">
                <pic:pic>
                  <pic:nvPicPr>
                    <pic:cNvPr descr="../figures/potsbydateandtombdate-1.png" id="0" name="Picture"/>
                    <pic:cNvPicPr>
                      <a:picLocks noChangeArrowheads="1" noChangeAspect="1"/>
                    </pic:cNvPicPr>
                  </pic:nvPicPr>
                  <pic:blipFill>
                    <a:blip r:embed="rId4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9 Counts of vessels from across all tombs in both cemeteries, arranged, on the left, by the century to which they are assigned based on their ceramic period and, on the right, by the centuries in which the tombs they come from were built.</w:t>
      </w:r>
    </w:p>
    <w:p>
      <w:pPr>
        <w:pStyle w:val="BodyText"/>
      </w:pPr>
      <w:r>
        <w:t xml:space="preserve">Figure</w:t>
      </w:r>
      <w:r>
        <w:t xml:space="preserve"> </w:t>
      </w:r>
      <w:r>
        <w:t xml:space="preserve">9</w:t>
      </w:r>
      <w:r>
        <w:t xml:space="preserve"> </w:t>
      </w:r>
      <w:r>
        <w:t xml:space="preserve">shows, firstly, the number of vessels dating to each century across both cemeteries, based on their assigned ceramic period, essentially a simplified version of the trend illustrated in Figure</w:t>
      </w:r>
      <w:r>
        <w:t xml:space="preserve"> </w:t>
      </w:r>
      <w:r>
        <w:t xml:space="preserve">4</w:t>
      </w:r>
      <w:r>
        <w:t xml:space="preserve">. But, on the right, Figure</w:t>
      </w:r>
      <w:r>
        <w:t xml:space="preserve"> </w:t>
      </w:r>
      <w:r>
        <w:t xml:space="preserve">9</w:t>
      </w:r>
      <w:r>
        <w:t xml:space="preserve"> </w:t>
      </w:r>
      <w:r>
        <w:t xml:space="preserve">shows those pots divided into the centuries to which the tombs they were found in date. So as can be seen, though the late 8th and early 7th centuries represented the apex of burial activity in across both cemeteries, it was not the tombs built in those centuries, but rather those built in the centuries prior, which received the lion’s share of the burials and associated ceramics. This is all the more notable when, returning to Figure</w:t>
      </w:r>
      <w:r>
        <w:t xml:space="preserve"> </w:t>
      </w:r>
      <w:r>
        <w:t xml:space="preserve">8</w:t>
      </w:r>
      <w:r>
        <w:t xml:space="preserve">, we see that the number of 9th and 10th century tombs in use by the late 8th and early 7th centuries were declining.</w:t>
      </w:r>
    </w:p>
    <w:p>
      <w:pPr>
        <w:pStyle w:val="Heading5"/>
      </w:pPr>
      <w:bookmarkStart w:id="49" w:name="pagebreak"/>
      <w:bookmarkEnd w:id="49"/>
      <w:r>
        <w:t xml:space="preserve">pagebreak</w:t>
      </w:r>
    </w:p>
    <w:p>
      <w:pPr>
        <w:pStyle w:val="TableCaption"/>
      </w:pPr>
      <w:r>
        <w:t xml:space="preserve">Table 1 The number of pithoi (as a proxy for burials) deposited in tombs dating to the 10th, 9th, 8th and 7th centuries, through each of the centuries they were in use, as well as the number of tombs from which these burials came, allowing calculation of the changing rate of burial through time.</w:t>
      </w:r>
    </w:p>
    <w:tbl>
      <w:tblPr>
        <w:tblStyle w:val="TableNormal"/>
        <w:tblW w:type="pct" w:w="5000.0"/>
        <w:tblLook w:firstRow="1"/>
        <w:tblCaption w:val="Table 1 The number of pithoi (as a proxy for burials) deposited in tombs dating to the 10th, 9th, 8th and 7th centuries, through each of the centuries they were in use, as well as the number of tombs from which these burials came, allowing calculation of the changing rate of burial through time."/>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t xml:space="preserve">The significance of these findings can be seen in Table 1. Taking the number of pithoi present in each tomb as a proxy for burials, we can estimate the changing rates of burial through the centuries. And while for most of the cemeteries’ lives the burial rate remained around three per tomb per century, in the 8th and 7th centuries tombs founded in the 9th century saw a rapid rise in the rate of burial, peaking at around 12 per tomb per century. Though these estimates are no doubt very rough, the marked nature of this divergence between the 9th century tombs and the rest suggests it is not simply an artefact of imperfect data.</w:t>
      </w:r>
    </w:p>
    <w:p>
      <w:pPr>
        <w:pStyle w:val="BodyText"/>
      </w:pPr>
      <w:r>
        <w:t xml:space="preserve">Also apparent from Table 1, though, are the markedly low rates of burial which edominated at both cemeteries. Two to four burials per tomb per century amounts to a very selective burial rite, even considering the restricted portion of the population probably represented by these cemeteries</w:t>
      </w:r>
      <w:r>
        <w:t xml:space="preserve"> </w:t>
      </w:r>
      <w:r>
        <w:t xml:space="preserve">(Cavanagh 1996:664)</w:t>
      </w:r>
      <w:r>
        <w:t xml:space="preserve">. It seems unlikely, then, that the rising rates of burial noted above are, for instance, the direct result of population growth; the increase seems too rapid, and is concentrated only in certain (odler) tombs, not to mention that, based on KULP’s survey data, the major population increase at EIA Knossos should be dated a century or more before the late 8th century peak in burial, in the Protogeometric period (Whitelaw, per comm.).</w:t>
      </w:r>
    </w:p>
    <w:p>
      <w:pPr>
        <w:pStyle w:val="BodyText"/>
      </w:pPr>
      <w:r>
        <w:t xml:space="preserve">We might assume that the tombs which became the focus of intense burial activity in the late 8th and early 7th centuries would be those which yielded the most burials and grave goods when excavated. Certainly, the largest 12 tombs are all chamber tombs, with 10 dating to the 9th century, and two to the 10th. But looking more closely at the aoristic sums of their assemblages through time, not all of them appear to have exhibited the noted intensification of burial activity into the Orientalising period.</w:t>
      </w:r>
    </w:p>
    <w:p>
      <w:pPr>
        <w:pStyle w:val="FigureWithCaption"/>
      </w:pPr>
      <w:r>
        <w:drawing>
          <wp:inline>
            <wp:extent cx="5943600" cy="4245428"/>
            <wp:effectExtent b="0" l="0" r="0" t="0"/>
            <wp:docPr descr="Figure 10 Aoristic sums for the 12 largest tombs (in terms of grave goods), arranged in decreasing order of total recovered artefacts. Note, for the sake of better illustrating the relative patterns, rather than absolute values, the scales on each plot are distinct." title="" id="1" name="Picture"/>
            <a:graphic>
              <a:graphicData uri="http://schemas.openxmlformats.org/drawingml/2006/picture">
                <pic:pic>
                  <pic:nvPicPr>
                    <pic:cNvPr descr="../figures/toptombs-1.pn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Aoristic sums for the 12 largest tombs (in terms of grave goods), arranged in decreasing order of total recovered artefacts. Note, for the sake of better illustrating the relative patterns, rather than absolute values, the scales on each plot are distinct.</w:t>
      </w:r>
    </w:p>
    <w:p>
      <w:pPr>
        <w:pStyle w:val="BodyText"/>
      </w:pPr>
      <w:r>
        <w:t xml:space="preserve">In Figure</w:t>
      </w:r>
      <w:r>
        <w:t xml:space="preserve"> </w:t>
      </w:r>
      <w:r>
        <w:t xml:space="preserve">10</w:t>
      </w:r>
      <w:r>
        <w:t xml:space="preserve">, we see that, seven of the 12 did exhibit late, intense episodes of deposition. Tombs X, G, Q, 104 and 283 do, however, evince a different pattern, with their respective peaks coming in the PGB and EG periods, around a century earlier. We have seen already in Figure</w:t>
      </w:r>
      <w:r>
        <w:t xml:space="preserve"> </w:t>
      </w:r>
      <w:r>
        <w:t xml:space="preserve">5</w:t>
      </w:r>
      <w:r>
        <w:t xml:space="preserve"> </w:t>
      </w:r>
      <w:r>
        <w:t xml:space="preserve">that, particularly in the KNC, the end of the 9th century was another period of increased burial activity, and these tombs shall be considered again shortly. But the other seven do appear to underpin the late 8th to early 7th century spate of burials, and between them accrount for 35.11% of the total pottery assemblage recovered from the 124 tombs considered in the present analysis. The question arises then, as to whether these tombs were in any way exceptional at the time of their construction, and it is to this possibility which we now turn.</w:t>
      </w:r>
    </w:p>
    <w:p>
      <w:pPr>
        <w:pStyle w:val="Heading2"/>
      </w:pPr>
      <w:bookmarkStart w:id="51" w:name="tomb-characteristics-and-the-composition-of-the-burial-assemblages"/>
      <w:bookmarkEnd w:id="51"/>
      <w:r>
        <w:t xml:space="preserve">Tomb characteristics and the composition of the burial assemblages</w:t>
      </w:r>
    </w:p>
    <w:p>
      <w:pPr>
        <w:pStyle w:val="FirstParagraph"/>
      </w:pPr>
      <w:r>
        <w:t xml:space="preserve">The indices discussed so far – the distribution of of artefacts between the tombs, and the construction and use of the tombs through time – only inform us of the temporal or aggregate features of the cemeteries; they tell us little of the tombs as they were built or first used. Synchronic comparisons are harder to make with the available data, but the dimensions of the tombs offer some scope for doing so.</w:t>
      </w:r>
    </w:p>
    <w:p>
      <w:pPr>
        <w:pStyle w:val="FigureWithCaption"/>
      </w:pPr>
      <w:r>
        <w:drawing>
          <wp:inline>
            <wp:extent cx="5943600" cy="3169919"/>
            <wp:effectExtent b="0" l="0" r="0" t="0"/>
            <wp:docPr descr="Figure 11 Scatterplots comparing tomb dimensions (chamber area and dromos length) to estimated total burials by tomb." title="" id="1" name="Picture"/>
            <a:graphic>
              <a:graphicData uri="http://schemas.openxmlformats.org/drawingml/2006/picture">
                <pic:pic>
                  <pic:nvPicPr>
                    <pic:cNvPr descr="../figures/tombdimensions-1.png" id="0" name="Picture"/>
                    <pic:cNvPicPr>
                      <a:picLocks noChangeArrowheads="1" noChangeAspect="1"/>
                    </pic:cNvPicPr>
                  </pic:nvPicPr>
                  <pic:blipFill>
                    <a:blip r:embed="rId52"/>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Figure 11 Scatterplots comparing tomb dimensions (chamber area and</w:t>
      </w:r>
      <w:r>
        <w:t xml:space="preserve"> </w:t>
      </w:r>
      <w:r>
        <w:rPr>
          <w:i/>
        </w:rPr>
        <w:t xml:space="preserve">dromos</w:t>
      </w:r>
      <w:r>
        <w:t xml:space="preserve"> </w:t>
      </w:r>
      <w:r>
        <w:t xml:space="preserve">length) to estimated total burials by tomb.</w:t>
      </w:r>
    </w:p>
    <w:p>
      <w:pPr>
        <w:pStyle w:val="BodyText"/>
      </w:pPr>
      <w:r>
        <w:t xml:space="preserve">Looking at , however, it seems that no clear relationship existed between the physical size of a tomb and its buried population at EIA Knossos. It is true that over half of all tombs do not exceed 2.6m2 in area, while nine of the ten tombs with the most burials do surpass this value. But many of the very largest tombs are decidedly middling when it comes to burial numbers. Things are even less clear for the dromos, the most visible part of the tomb, and a plausible arena for demonstrations of scale and grandeur during the burial itself. Admittedly, the very largest two tombs by burial numbers also had exceptionally long dromoi, but the next eight tombs with the largest dromoi do not rank highly when it comes to number of interments. There are difficulties here in that the dromoi especially were common victims of encroachment by later tombs, and our estimates of their original length are tentative in many cases.</w:t>
      </w:r>
    </w:p>
    <w:p>
      <w:pPr>
        <w:pStyle w:val="FigureWithCaption"/>
      </w:pPr>
      <w:r>
        <w:drawing>
          <wp:inline>
            <wp:extent cx="5495559" cy="4579632"/>
            <wp:effectExtent b="0" l="0" r="0" t="0"/>
            <wp:docPr descr="Figure 12 Boxplots comparing various tomb dimensions as they vary by the century of tomb construction." title="" id="1" name="Picture"/>
            <a:graphic>
              <a:graphicData uri="http://schemas.openxmlformats.org/drawingml/2006/picture">
                <pic:pic>
                  <pic:nvPicPr>
                    <pic:cNvPr descr="../figures/dimensionsboxplots-1.png" id="0" name="Picture"/>
                    <pic:cNvPicPr>
                      <a:picLocks noChangeArrowheads="1" noChangeAspect="1"/>
                    </pic:cNvPicPr>
                  </pic:nvPicPr>
                  <pic:blipFill>
                    <a:blip r:embed="rId53"/>
                    <a:stretch>
                      <a:fillRect/>
                    </a:stretch>
                  </pic:blipFill>
                  <pic:spPr bwMode="auto">
                    <a:xfrm>
                      <a:off x="0" y="0"/>
                      <a:ext cx="5495559" cy="4579632"/>
                    </a:xfrm>
                    <a:prstGeom prst="rect">
                      <a:avLst/>
                    </a:prstGeom>
                    <a:noFill/>
                    <a:ln w="9525">
                      <a:noFill/>
                      <a:headEnd/>
                      <a:tailEnd/>
                    </a:ln>
                  </pic:spPr>
                </pic:pic>
              </a:graphicData>
            </a:graphic>
          </wp:inline>
        </w:drawing>
      </w:r>
    </w:p>
    <w:p>
      <w:pPr>
        <w:pStyle w:val="ImageCaption"/>
      </w:pPr>
      <w:r>
        <w:t xml:space="preserve">Figure 12 Boxplots comparing various tomb dimensions as they vary by the century of tomb construction.</w:t>
      </w:r>
    </w:p>
    <w:p>
      <w:pPr>
        <w:pStyle w:val="BodyText"/>
      </w:pPr>
      <w:r>
        <w:t xml:space="preserve">Looking at … we can see that, through the centuries, the dimensions of the tombs varied, sometimes consistently, as with the trend toward narrower</w:t>
      </w:r>
      <w:r>
        <w:t xml:space="preserve"> </w:t>
      </w:r>
      <w:r>
        <w:rPr>
          <w:b/>
        </w:rPr>
        <w:t xml:space="preserve">dromoi</w:t>
      </w:r>
      <w:r>
        <w:t xml:space="preserve">. Tombs of the 9th century do not particularly stand out here, though it is worth noting that this period did witness the peak in the size of the actual chambers of tombs, as well as being the period in which these sizes varied most. But, then again, even the largest chambers are not exactly cavernous, and the extra labour expended on the construction of the larger chambers would have been limited. The dromos is a plausible area for conspicuous demonstrations of scale but, with their frequently poor preservation, we cannot be confident in assessing this. It appears at any rate that they were gradually declining in size, albeit with some notable outliers.</w:t>
      </w:r>
    </w:p>
    <w:p>
      <w:pPr>
        <w:pStyle w:val="BodyText"/>
      </w:pPr>
      <w:r>
        <w:t xml:space="preserve">What these figures do suggest, though, is that if tomb size carried a social meaning at the time of construction, this proved irrelevant in the selection of certain tombs for extensive later reuse. That is, the tomb’s later popularity seems not have been foreseen. Many large tombs had niches cut in their dromoi, or the stomion extended, to fit in later burial urns. Sometimes, urns from within the tomb itself were placed in such niches to make space for new interments in the chamber itself. There is an impression of individuals vying to be included in the chamber itself. That extra space had to be made, and competition was fierce for inclusion into the sepulchral group, supports the idea that the tombs’ original builders little anticipated their eventual popularity and so did not scale their tombs accordingly.</w:t>
      </w:r>
    </w:p>
    <w:p>
      <w:pPr>
        <w:pStyle w:val="FigureWithCaption"/>
      </w:pPr>
      <w:r>
        <w:drawing>
          <wp:inline>
            <wp:extent cx="5943600" cy="3396342"/>
            <wp:effectExtent b="0" l="0" r="0" t="0"/>
            <wp:docPr descr="Figure 13 Counts of vessels belonging to the 9th, 8th and 7th centuries, found in tombs dating to the 10th or 9th century which yielded upwards of 50 vessels when excavated. The seven large tombs with late peaks in burial activity identified earlier are shown in green." title="" id="1" name="Picture"/>
            <a:graphic>
              <a:graphicData uri="http://schemas.openxmlformats.org/drawingml/2006/picture">
                <pic:pic>
                  <pic:nvPicPr>
                    <pic:cNvPr descr="../figures/tombscompthroughtime-1.png" id="0" name="Picture"/>
                    <pic:cNvPicPr>
                      <a:picLocks noChangeArrowheads="1" noChangeAspect="1"/>
                    </pic:cNvPicPr>
                  </pic:nvPicPr>
                  <pic:blipFill>
                    <a:blip r:embed="rId5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Counts of vessels belonging to the 9th, 8th and 7th centuries, found in tombs dating to the 10th or 9th century which yielded upwards of 50 vessels when excavated. The seven large tombs with late peaks in burial activity identified earlier are shown in green.</w:t>
      </w:r>
    </w:p>
    <w:p>
      <w:pPr>
        <w:pStyle w:val="BodyText"/>
      </w:pPr>
      <w:r>
        <w:t xml:space="preserve">Though it may not be immediately apparent from the dimensions of the tombs, however, the late 9th and early 8th centuries are consistently interpreted as periods of artistic development, increased overseas trade, and renewed vigour in the construction of tombs and the visibility of the burial rite. The PGB style, first identified by Brock, purportedly reflects a uniquely Cretan (perhaps even Knossian) melding of Attic and Near Eastern forms and motifs, while the appearance of Bronze Age</w:t>
      </w:r>
      <w:r>
        <w:t xml:space="preserve"> </w:t>
      </w:r>
      <w:r>
        <w:t xml:space="preserve">‘</w:t>
      </w:r>
      <w:r>
        <w:t xml:space="preserve">antiques</w:t>
      </w:r>
      <w:r>
        <w:t xml:space="preserve">’</w:t>
      </w:r>
      <w:r>
        <w:t xml:space="preserve"> </w:t>
      </w:r>
      <w:r>
        <w:t xml:space="preserve">in the tombs from this period onwards is felt to reflect renewed, even competitive interest in the Minoan past, as a tool for mortuary display or even lineage affirmation. We can</w:t>
      </w:r>
    </w:p>
    <w:p>
      <w:pPr>
        <w:pStyle w:val="FigureWithCaption"/>
      </w:pPr>
      <w:r>
        <w:drawing>
          <wp:inline>
            <wp:extent cx="5943600" cy="3396342"/>
            <wp:effectExtent b="0" l="0" r="0" t="0"/>
            <wp:docPr descr="Figure 14 Aoristic sums of imported ceramics through time across both cemeteries, colour-coded by the broad regional origin of the vessels." title="" id="1" name="Picture"/>
            <a:graphic>
              <a:graphicData uri="http://schemas.openxmlformats.org/drawingml/2006/picture">
                <pic:pic>
                  <pic:nvPicPr>
                    <pic:cNvPr descr="../figures/imports-1.png" id="0" name="Picture"/>
                    <pic:cNvPicPr>
                      <a:picLocks noChangeArrowheads="1" noChangeAspect="1"/>
                    </pic:cNvPicPr>
                  </pic:nvPicPr>
                  <pic:blipFill>
                    <a:blip r:embed="rId5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Aoristic sums of imported ceramics through time across both cemeteries, colour-coded by the broad regional origin of the vessels.</w:t>
      </w:r>
    </w:p>
    <w:p>
      <w:pPr>
        <w:pStyle w:val="BodyText"/>
      </w:pPr>
      <w:r>
        <w:t xml:space="preserve">The rise in imported items is clearly reflected in the tomb assemblages, with a succession of increased Greek and Near Eastern imports respectively in the late 9th and early 8th centuries. Yet whilst confirming some of the prior inferences about the LPG-EG periods, the deposition of these imported wares can also cast light on the original pattern drawn out in the present analysis: the late surge in burial activity among some select 9th and 10th century tombs.</w:t>
      </w:r>
    </w:p>
    <w:p>
      <w:pPr>
        <w:pStyle w:val="FigureWithCaption"/>
      </w:pPr>
      <w:r>
        <w:drawing>
          <wp:inline>
            <wp:extent cx="5943600" cy="2971800"/>
            <wp:effectExtent b="0" l="0" r="0" t="0"/>
            <wp:docPr descr="Figure 15 Aoristic sums of imported vessels through time, from tombs built in the 11th through 9th centuries." title="" id="1" name="Picture"/>
            <a:graphic>
              <a:graphicData uri="http://schemas.openxmlformats.org/drawingml/2006/picture">
                <pic:pic>
                  <pic:nvPicPr>
                    <pic:cNvPr descr="../figures/importstombcenturies-1.png" id="0" name="Picture"/>
                    <pic:cNvPicPr>
                      <a:picLocks noChangeArrowheads="1" noChangeAspect="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15 Aoristic sums of imported vessels through time, from tombs built in the 11th through 9th centuries.</w:t>
      </w:r>
    </w:p>
    <w:p>
      <w:pPr>
        <w:pStyle w:val="BodyText"/>
      </w:pPr>
      <w:r>
        <w:t xml:space="preserve">Leaving aside the later tombs for a moment, we can see in Figure … that the tombs already built by the end of the PGB period, particularly those built in the 9th and, to a lesser extent, 10th centuries, were major beneficiaries of the influx of imported items during this time, but that, in the following centuries, in line with the rest of the cemetery, the number of imported items deposited within them declined. Imported ceramics are used here as something of a proxy for items of status value, a shorthand that would ideally be bolstered by other artefacts (such as precious vessels, weapons, jewellery etc.) which, owing to their less developed chronologies, must unfortunately be left out of such diachronic analyses. But the beginnings of my final argument are seen here in Figure …, namely that the late surge in burial activity seen across both cemeteries in the late 8th and early 7th centuries would appear to be of a different kind to that of a century earlier.</w:t>
      </w:r>
    </w:p>
    <w:p>
      <w:pPr>
        <w:pStyle w:val="FigureWithCaption"/>
      </w:pPr>
      <w:r>
        <w:drawing>
          <wp:inline>
            <wp:extent cx="5943600" cy="3396342"/>
            <wp:effectExtent b="0" l="0" r="0" t="0"/>
            <wp:docPr descr="Figure 16 Boxplot for the aoristic sums of all vessels across both cemeteries through time, colour-coded by ceramic period. Boxes represent the interquartile range, horizontal lines the median value, whiskers values within 1.5 times the interquartile range, and points outliers beyond this." title="" id="1" name="Picture"/>
            <a:graphic>
              <a:graphicData uri="http://schemas.openxmlformats.org/drawingml/2006/picture">
                <pic:pic>
                  <pic:nvPicPr>
                    <pic:cNvPr descr="../figures/bigbox-1.png" id="0" name="Picture"/>
                    <pic:cNvPicPr>
                      <a:picLocks noChangeArrowheads="1" noChangeAspect="1"/>
                    </pic:cNvPicPr>
                  </pic:nvPicPr>
                  <pic:blipFill>
                    <a:blip r:embed="rId5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Boxplot for the aoristic sums of all vessels across both cemeteries through time, colour-coded by ceramic period. Boxes represent the interquartile range, horizontal lines the median value, whiskers values within 1.5 times the interquartile range, and points outliers beyond this.</w:t>
      </w:r>
    </w:p>
    <w:p>
      <w:pPr>
        <w:pStyle w:val="BodyText"/>
      </w:pPr>
      <w:r>
        <w:t xml:space="preserve">Figure … is a boxplot for the aoristic sums of each decade across both cemeteries, colour-coded by ceramic phase. Note that, for clarity, tomb G in the EG period, and tomb P in the late EO-LO period are excluded, with values ranging from 29-34, and 36-44 respectively. The important observation is that the PGB and EG exhibit the largest interquartile ranges (IQRs) of any period, and each possess only a single outlier (beyond 1.5 times the IQR). The Orientalising period, on the other hand, exhibit much reduced IQRs, and a proliferation of outliers far and above the range of the other tombs. In other words, while both the PGB-EG and EO-LO periods witnessed an expanding volume and range of burial activity, in the earlier period this was shared somewhat more equally among the total burying population. One speaks of increasing plurality, the other of divergence.</w:t>
      </w:r>
    </w:p>
    <w:p>
      <w:pPr>
        <w:pStyle w:val="FigureWithCaption"/>
      </w:pPr>
      <w:r>
        <w:drawing>
          <wp:inline>
            <wp:extent cx="5943600" cy="3396342"/>
            <wp:effectExtent b="0" l="0" r="0" t="0"/>
            <wp:docPr descr="Figure 17 Gini coefficient values through time based on the aoristic sums for all vessels across both cemeteries. Background colours correspond to ceramic periods." title="" id="1" name="Picture"/>
            <a:graphic>
              <a:graphicData uri="http://schemas.openxmlformats.org/drawingml/2006/picture">
                <pic:pic>
                  <pic:nvPicPr>
                    <pic:cNvPr descr="../figures/gini-1.png" id="0" name="Picture"/>
                    <pic:cNvPicPr>
                      <a:picLocks noChangeArrowheads="1" noChangeAspect="1"/>
                    </pic:cNvPicPr>
                  </pic:nvPicPr>
                  <pic:blipFill>
                    <a:blip r:embed="rId5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Gini coefficient values through time based on the aoristic sums for all vessels across both cemeteries. Background colours correspond to ceramic periods.</w:t>
      </w:r>
    </w:p>
    <w:p>
      <w:pPr>
        <w:pStyle w:val="BodyText"/>
      </w:pPr>
      <w:r>
        <w:t xml:space="preserve">This possibility is furthered somewhat by considering the gini coefficient of the distribution of pottery between the tombs. Using the aoristic sums as a probablistically-weighted estimate of the volume of material deposited in each tomb in each decade, use of the gini coefficient can give an (albeit rough) estimate of how unevenly distributed that material was. And what we see is that, though values were always relatively high (i.e. unequal) within the cemeteries, the major spike in the gini coefficient seen in the Orientalising period contrasts markedly with the modest rise and plateau of the PGB-EG. The gini coefficient is most commonly used in the assessment of income inequality, but I want to stress here that it is not</w:t>
      </w:r>
      <w:r>
        <w:t xml:space="preserve"> </w:t>
      </w:r>
      <w:r>
        <w:t xml:space="preserve">“</w:t>
      </w:r>
      <w:r>
        <w:t xml:space="preserve">wealth</w:t>
      </w:r>
      <w:r>
        <w:t xml:space="preserve">”</w:t>
      </w:r>
      <w:r>
        <w:t xml:space="preserve"> </w:t>
      </w:r>
      <w:r>
        <w:t xml:space="preserve">in any meaningful sense that we are talking about here. Indeed, if anything, the late flourit of burial activity here discussed may be a case of quantity, and not quality.</w:t>
      </w:r>
    </w:p>
    <w:p>
      <w:pPr>
        <w:pStyle w:val="FigureWithCaption"/>
      </w:pPr>
      <w:r>
        <w:drawing>
          <wp:inline>
            <wp:extent cx="5943600" cy="3396342"/>
            <wp:effectExtent b="0" l="0" r="0" t="0"/>
            <wp:docPr descr="Figure 18 Plots showing the composition of the total pottery assemblage for each century across both cemeteries, and among the 7 notable tombs drawn out earlier in the analysis." title="" id="1" name="Picture"/>
            <a:graphic>
              <a:graphicData uri="http://schemas.openxmlformats.org/drawingml/2006/picture">
                <pic:pic>
                  <pic:nvPicPr>
                    <pic:cNvPr descr="../figures/comps-1.png" id="0" name="Picture"/>
                    <pic:cNvPicPr>
                      <a:picLocks noChangeArrowheads="1" noChangeAspect="1"/>
                    </pic:cNvPicPr>
                  </pic:nvPicPr>
                  <pic:blipFill>
                    <a:blip r:embed="rId5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18 Plots showing the composition of the total pottery assemblage for each century across both cemeteries, and among the 7 notable tombs drawn out earlier in the analysis.</w:t>
      </w:r>
    </w:p>
    <w:p>
      <w:pPr>
        <w:pStyle w:val="BodyText"/>
      </w:pPr>
      <w:r>
        <w:t xml:space="preserve">Figure … shows the composition of the total pottery assemblage from each cemetery, and from the seven tombs drawn out earlier, through the centuries. In all cases, there appears to be the steady crystallisation of a basic</w:t>
      </w:r>
      <w:r>
        <w:t xml:space="preserve"> </w:t>
      </w:r>
      <w:r>
        <w:t xml:space="preserve">‘</w:t>
      </w:r>
      <w:r>
        <w:t xml:space="preserve">burial kit</w:t>
      </w:r>
      <w:r>
        <w:t xml:space="preserve">’</w:t>
      </w:r>
      <w:r>
        <w:t xml:space="preserve">, comprising a pithos and lid, an oil vessel,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lekanai and more - declines to become only a minor part of the standardised repertoire of the 7th century. The seven tombs that underpinned the dramatic increase in burial activity in the later 8th century did not break with this mould, and their assemblages seem as conventional as any other during the last century of use in the cemeteries.</w:t>
      </w:r>
    </w:p>
    <w:p>
      <w:pPr>
        <w:pStyle w:val="BodyText"/>
      </w:pPr>
      <w:r>
        <w:t xml:space="preserve">It has no doubt been apparent that the main focus of this article has been on pottery and not other artefacts of metal, stone, glass, and organic materials. This is largely because the chronologies for these artefacts are insufficiently developed to allow for the kind of diachronic analysis made thus far. But I do want to briefly comment on one aspect of the distribution of non-ceramic artefacts that may make more sense in the light of the foregoing discussion. There is, perhaps unsurprisingly, a relatively strong (Spearman’s rank correlation of 0.7152995) correlation between the number of ceramic and non-ceramic finds across the tombs, and, certainly, many of the most unique and precious objects were recovered from among the larger tombs. But, the monopoly those tombs would appear to have over such objects,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those objects is divided by the number of burials represented.</w:t>
      </w:r>
    </w:p>
    <w:p>
      <w:pPr>
        <w:pStyle w:val="FigureWithCaption"/>
      </w:pPr>
      <w:r>
        <w:drawing>
          <wp:inline>
            <wp:extent cx="5495559" cy="3663706"/>
            <wp:effectExtent b="0" l="0" r="0" t="0"/>
            <wp:docPr descr="Figure 19 Histograms relating, first, to counts of non-ceramic artefacts, metal objects, and imported items across all tombs in both cemeteries and, secondly, to those counts divided by the estimated number of burials in each tomb." title="" id="1" name="Picture"/>
            <a:graphic>
              <a:graphicData uri="http://schemas.openxmlformats.org/drawingml/2006/picture">
                <pic:pic>
                  <pic:nvPicPr>
                    <pic:cNvPr descr="../figures/hists-1.png" id="0" name="Picture"/>
                    <pic:cNvPicPr>
                      <a:picLocks noChangeArrowheads="1" noChangeAspect="1"/>
                    </pic:cNvPicPr>
                  </pic:nvPicPr>
                  <pic:blipFill>
                    <a:blip r:embed="rId60"/>
                    <a:stretch>
                      <a:fillRect/>
                    </a:stretch>
                  </pic:blipFill>
                  <pic:spPr bwMode="auto">
                    <a:xfrm>
                      <a:off x="0" y="0"/>
                      <a:ext cx="5495559" cy="3663706"/>
                    </a:xfrm>
                    <a:prstGeom prst="rect">
                      <a:avLst/>
                    </a:prstGeom>
                    <a:noFill/>
                    <a:ln w="9525">
                      <a:noFill/>
                      <a:headEnd/>
                      <a:tailEnd/>
                    </a:ln>
                  </pic:spPr>
                </pic:pic>
              </a:graphicData>
            </a:graphic>
          </wp:inline>
        </w:drawing>
      </w:r>
    </w:p>
    <w:p>
      <w:pPr>
        <w:pStyle w:val="ImageCaption"/>
      </w:pPr>
      <w:r>
        <w:t xml:space="preserve">Figure 19 Histograms relating, first, to counts of non-ceramic artefacts, metal objects, and imported items across all tombs in both cemeteries and, secondly, to those counts divided by the estimated number of burials in each tomb.</w:t>
      </w:r>
    </w:p>
    <w:p>
      <w:pPr>
        <w:pStyle w:val="BodyText"/>
      </w:pPr>
      <w:r>
        <w:t xml:space="preserve">Figure … thus supports the view which has emerged from the preceeding analysis, that the major increase in burial activity at both Fortetsa and the KNC was not a phenomenon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To summarise, towards the end of 8th century BC, a select group of tombs, all of which had been constructed back in the 9th or 10th, became the foci of a major increase in burials, something which did not occur among the tombs built around the same time. We have seen how this surge in acivity occurred against the backdrop of a declining number of tombs dating back to the 10th and 9th centuries, and I have suggested that the rates of change are too rapid, and unevenly distributed, to be explicable through population growth alone. We have seen how little about the physical dimensions of these tombs presaged their later popularity, and that, while a similar, if smaller, increase in burial activity occurred around a century earlier, in the PGB-EG periods, this contrasts in the comparative diversity of its associated assemblages, and their distribution across the cemetries. The later burials were marked by great uniformity in the associated grave goods, and this apparently limited and consistent repertoire may explain why many of the most used tombs prove exceptional only in the absolute quantity of artefacts, and not the accoutrements of each individual burial.</w:t>
      </w:r>
    </w:p>
    <w:p>
      <w:pPr>
        <w:pStyle w:val="Heading1"/>
      </w:pPr>
      <w:bookmarkStart w:id="61" w:name="discussion"/>
      <w:bookmarkEnd w:id="61"/>
      <w:r>
        <w:t xml:space="preserve">Discussion</w:t>
      </w:r>
    </w:p>
    <w:p>
      <w:pPr>
        <w:pStyle w:val="Heading1"/>
      </w:pPr>
      <w:bookmarkStart w:id="62" w:name="conclusion"/>
      <w:bookmarkEnd w:id="62"/>
      <w:r>
        <w:t xml:space="preserve">Conclusion</w:t>
      </w:r>
    </w:p>
    <w:p>
      <w:pPr>
        <w:pStyle w:val="Heading1"/>
      </w:pPr>
      <w:bookmarkStart w:id="63" w:name="acknowledgements"/>
      <w:bookmarkEnd w:id="63"/>
      <w:r>
        <w:t xml:space="preserve">Acknowledgements</w:t>
      </w:r>
    </w:p>
    <w:p>
      <w:pPr>
        <w:pStyle w:val="Heading5"/>
      </w:pPr>
      <w:bookmarkStart w:id="64" w:name="pagebreak-1"/>
      <w:bookmarkEnd w:id="64"/>
      <w:r>
        <w:t xml:space="preserve">pagebreak</w:t>
      </w:r>
    </w:p>
    <w:p>
      <w:pPr>
        <w:pStyle w:val="Heading1"/>
      </w:pPr>
      <w:bookmarkStart w:id="65" w:name="references"/>
      <w:bookmarkEnd w:id="65"/>
      <w:r>
        <w:t xml:space="preserve">References</w:t>
      </w:r>
    </w:p>
    <w:p>
      <w:pPr>
        <w:pStyle w:val="FirstParagraph"/>
      </w:pPr>
      <w:r>
        <w:t xml:space="preserve">Antoniadis, Vyron</w:t>
      </w:r>
      <w:r>
        <w:br w:type="textWrapping"/>
      </w:r>
      <w:r>
        <w:t xml:space="preserve">2012Early Iron Age Cementeries at Knossos: The Appreciation of Oriental Imports and their Imitations by Knossian Society. Unpublished PhD thesis, Universitat Pompeu Fabra.</w:t>
      </w:r>
    </w:p>
    <w:p>
      <w:pPr>
        <w:pStyle w:val="BodyText"/>
      </w:pPr>
      <w:r>
        <w:t xml:space="preserve">Appadurai, Arjun</w:t>
      </w:r>
      <w:r>
        <w:br w:type="textWrapping"/>
      </w:r>
      <w:r>
        <w:t xml:space="preserve">1986</w:t>
      </w:r>
      <w:r>
        <w:rPr>
          <w:i/>
        </w:rPr>
        <w:t xml:space="preserve">The Social Life of Things : commodities in cultural perspective</w:t>
      </w:r>
      <w:r>
        <w:t xml:space="preserve">. Cambridge University Press, Cambridge.</w:t>
      </w:r>
    </w:p>
    <w:p>
      <w:pPr>
        <w:pStyle w:val="BodyText"/>
      </w:pPr>
      <w:r>
        <w:t xml:space="preserve">Bevan, Andrew, and Alan Wilson</w:t>
      </w:r>
      <w:r>
        <w:br w:type="textWrapping"/>
      </w:r>
      <w:r>
        <w:t xml:space="preserve">2013Models of settlement hierarchy based on partial evidence.</w:t>
      </w:r>
      <w:r>
        <w:t xml:space="preserve"> </w:t>
      </w:r>
      <w:r>
        <w:rPr>
          <w:i/>
        </w:rPr>
        <w:t xml:space="preserve">Journal of Archaeological Science</w:t>
      </w:r>
      <w:r>
        <w:t xml:space="preserve"> </w:t>
      </w:r>
      <w:r>
        <w:t xml:space="preserve">40(5):2415–2427.</w:t>
      </w:r>
    </w:p>
    <w:p>
      <w:pPr>
        <w:pStyle w:val="BodyText"/>
      </w:pPr>
      <w:r>
        <w:t xml:space="preserve">Boardman, John</w:t>
      </w:r>
      <w:r>
        <w:br w:type="textWrapping"/>
      </w:r>
      <w:r>
        <w:t xml:space="preserve">1960Protogeometric Graves at Agios Ioannis near Knossos (Knossos Survey 3).</w:t>
      </w:r>
      <w:r>
        <w:t xml:space="preserve"> </w:t>
      </w:r>
      <w:r>
        <w:rPr>
          <w:i/>
        </w:rPr>
        <w:t xml:space="preserve">The Annual of the British School at Athens</w:t>
      </w:r>
      <w:r>
        <w:t xml:space="preserve"> </w:t>
      </w:r>
      <w:r>
        <w:t xml:space="preserve">55:128–148.</w:t>
      </w:r>
    </w:p>
    <w:p>
      <w:pPr>
        <w:pStyle w:val="BodyText"/>
      </w:pPr>
      <w:r>
        <w:t xml:space="preserve">Boardman, John</w:t>
      </w:r>
      <w:r>
        <w:br w:type="textWrapping"/>
      </w:r>
      <w:r>
        <w:t xml:space="preserve">1967The Khaniale Tekke Tombs, II.</w:t>
      </w:r>
      <w:r>
        <w:t xml:space="preserve"> </w:t>
      </w:r>
      <w:r>
        <w:rPr>
          <w:i/>
        </w:rPr>
        <w:t xml:space="preserve">BSA</w:t>
      </w:r>
      <w:r>
        <w:t xml:space="preserve"> </w:t>
      </w:r>
      <w:r>
        <w:t xml:space="preserve">62:57–75.</w:t>
      </w:r>
    </w:p>
    <w:p>
      <w:pPr>
        <w:pStyle w:val="BodyText"/>
      </w:pPr>
      <w:r>
        <w:t xml:space="preserve">Brock, J.K.</w:t>
      </w:r>
      <w:r>
        <w:br w:type="textWrapping"/>
      </w:r>
      <w:r>
        <w:t xml:space="preserve">1957</w:t>
      </w:r>
      <w:r>
        <w:rPr>
          <w:i/>
        </w:rPr>
        <w:t xml:space="preserve">Fortetsa: Early Greek Tombs Near Knossos</w:t>
      </w:r>
      <w:r>
        <w:t xml:space="preserve">. Cambridge University Press, Cambridge.</w:t>
      </w:r>
    </w:p>
    <w:p>
      <w:pPr>
        <w:pStyle w:val="BodyText"/>
      </w:pPr>
      <w:r>
        <w:t xml:space="preserve">Catling, H W</w:t>
      </w:r>
      <w:r>
        <w:br w:type="textWrapping"/>
      </w:r>
      <w:r>
        <w:t xml:space="preserve">1995Heroes Returned? Subminoan Burials from Crete. In</w:t>
      </w:r>
      <w:r>
        <w:t xml:space="preserve"> </w:t>
      </w:r>
      <w:r>
        <w:rPr>
          <w:i/>
        </w:rPr>
        <w:t xml:space="preserve">The ages of homer: A tribute to emily townsend vermeule</w:t>
      </w:r>
      <w:r>
        <w:t xml:space="preserve">, edited by Jane B Carter and Sarah P Morris, pp. 123–136. University of Texas Press, Austin.</w:t>
      </w:r>
    </w:p>
    <w:p>
      <w:pPr>
        <w:pStyle w:val="BodyText"/>
      </w:pPr>
      <w:r>
        <w:t xml:space="preserve">Cavanagh, W.G.</w:t>
      </w:r>
      <w:r>
        <w:br w:type="textWrapping"/>
      </w:r>
      <w:r>
        <w:t xml:space="preserve">1996The Burial Customs. In</w:t>
      </w:r>
      <w:r>
        <w:t xml:space="preserve"> </w:t>
      </w:r>
      <w:r>
        <w:rPr>
          <w:i/>
        </w:rPr>
        <w:t xml:space="preserve">Knossos north cemetery: Early greek tombs</w:t>
      </w:r>
      <w:r>
        <w:t xml:space="preserve">, edited by J.N. Coldstream and H W Catling, pp. 651–675. The British School at Athens Supplement 28. Vol.II, London.</w:t>
      </w:r>
    </w:p>
    <w:p>
      <w:pPr>
        <w:pStyle w:val="BodyText"/>
      </w:pPr>
      <w:r>
        <w:t xml:space="preserve">Coldstream, J N</w:t>
      </w:r>
      <w:r>
        <w:br w:type="textWrapping"/>
      </w:r>
      <w:r>
        <w:t xml:space="preserve">1977</w:t>
      </w:r>
      <w:r>
        <w:rPr>
          <w:i/>
        </w:rPr>
        <w:t xml:space="preserve">Geometric Greece</w:t>
      </w:r>
      <w:r>
        <w:t xml:space="preserve">. 1st ed. Ernest Benn, London.</w:t>
      </w:r>
    </w:p>
    <w:p>
      <w:pPr>
        <w:pStyle w:val="BodyText"/>
      </w:pPr>
      <w:r>
        <w:t xml:space="preserve">Coldstream, J N</w:t>
      </w:r>
      <w:r>
        <w:br w:type="textWrapping"/>
      </w:r>
      <w:r>
        <w:t xml:space="preserve">1994Urns with Lids: The Visible Face of the Knossian ’Dark Age’. In</w:t>
      </w:r>
      <w:r>
        <w:t xml:space="preserve"> </w:t>
      </w:r>
      <w:r>
        <w:rPr>
          <w:i/>
        </w:rPr>
        <w:t xml:space="preserve">Knossos: A labyrinth of history. papers presented in honour of sinclair hood</w:t>
      </w:r>
      <w:r>
        <w:t xml:space="preserve">, edited by Don Evely, Helen Hughes-Brock, and Nicoletta Momigliano, pp. 105–122. The British School at Athens, Oxford.</w:t>
      </w:r>
    </w:p>
    <w:p>
      <w:pPr>
        <w:pStyle w:val="BodyText"/>
      </w:pPr>
      <w:r>
        <w:t xml:space="preserve">Coldstream, J N</w:t>
      </w:r>
      <w:r>
        <w:br w:type="textWrapping"/>
      </w:r>
      <w:r>
        <w:t xml:space="preserve">1998Minos Redivivus: some nostalgic Knossians of the ninth century BC (a summary).</w:t>
      </w:r>
      <w:r>
        <w:t xml:space="preserve"> </w:t>
      </w:r>
      <w:r>
        <w:rPr>
          <w:i/>
        </w:rPr>
        <w:t xml:space="preserve">Brtish School at Athens Studies</w:t>
      </w:r>
      <w:r>
        <w:t xml:space="preserve"> </w:t>
      </w:r>
      <w:r>
        <w:t xml:space="preserve">2(POST-MINOAN CRETE: Proceedings of the First Colloquium on Post-Minoan Crete held by the British School at Athens and the Institute of Archaeology, University College London, 10-11 November 1995):58–61.</w:t>
      </w:r>
    </w:p>
    <w:p>
      <w:pPr>
        <w:pStyle w:val="BodyText"/>
      </w:pPr>
      <w:r>
        <w:t xml:space="preserve">Coldstream, J N, and H W Catling</w:t>
      </w:r>
      <w:r>
        <w:br w:type="textWrapping"/>
      </w:r>
      <w:r>
        <w:t xml:space="preserve">1996</w:t>
      </w:r>
      <w:r>
        <w:rPr>
          <w:i/>
        </w:rPr>
        <w:t xml:space="preserve">Knossos North Cemetery: Early Greek Tombs</w:t>
      </w:r>
      <w:r>
        <w:t xml:space="preserve">. Edited by J N Coldstream and H W Catling. The British School at Athens Supplement 28. Vol.I-IV, London.</w:t>
      </w:r>
    </w:p>
    <w:p>
      <w:pPr>
        <w:pStyle w:val="BodyText"/>
      </w:pPr>
      <w:r>
        <w:t xml:space="preserve">Coldstream, J. N.</w:t>
      </w:r>
      <w:r>
        <w:br w:type="textWrapping"/>
      </w:r>
      <w:r>
        <w:t xml:space="preserve">1963Five Tombs at Knossos.</w:t>
      </w:r>
      <w:r>
        <w:t xml:space="preserve"> </w:t>
      </w:r>
      <w:r>
        <w:rPr>
          <w:i/>
        </w:rPr>
        <w:t xml:space="preserve">The Annual of the British School at Athens</w:t>
      </w:r>
      <w:r>
        <w:t xml:space="preserve"> </w:t>
      </w:r>
      <w:r>
        <w:t xml:space="preserve">58:30–43.</w:t>
      </w:r>
    </w:p>
    <w:p>
      <w:pPr>
        <w:pStyle w:val="BodyText"/>
      </w:pPr>
      <w:r>
        <w:t xml:space="preserve">Coldstream, J. N., G. L. Huxley, and V. E. S. Webb</w:t>
      </w:r>
      <w:r>
        <w:br w:type="textWrapping"/>
      </w:r>
      <w:r>
        <w:t xml:space="preserve">1999Knossos: The Archaic Gap.</w:t>
      </w:r>
      <w:r>
        <w:t xml:space="preserve"> </w:t>
      </w:r>
      <w:r>
        <w:rPr>
          <w:i/>
        </w:rPr>
        <w:t xml:space="preserve">The Annual of the British School at Athens</w:t>
      </w:r>
      <w:r>
        <w:t xml:space="preserve"> </w:t>
      </w:r>
      <w:r>
        <w:t xml:space="preserve">94:289–307.</w:t>
      </w:r>
    </w:p>
    <w:p>
      <w:pPr>
        <w:pStyle w:val="BodyText"/>
      </w:pPr>
      <w:r>
        <w:t xml:space="preserve">Coldstream, J.N.</w:t>
      </w:r>
      <w:r>
        <w:br w:type="textWrapping"/>
      </w:r>
      <w:r>
        <w:t xml:space="preserve">1984aA Protogeometric Nature Goddess from Knossos.</w:t>
      </w:r>
      <w:r>
        <w:t xml:space="preserve"> </w:t>
      </w:r>
      <w:r>
        <w:rPr>
          <w:i/>
        </w:rPr>
        <w:t xml:space="preserve">Bulletin of the Institute of Classical Studies</w:t>
      </w:r>
      <w:r>
        <w:t xml:space="preserve"> </w:t>
      </w:r>
      <w:r>
        <w:t xml:space="preserve">31:93–104.</w:t>
      </w:r>
    </w:p>
    <w:p>
      <w:pPr>
        <w:pStyle w:val="BodyText"/>
      </w:pPr>
      <w:r>
        <w:t xml:space="preserve">Coldstream, J.N.</w:t>
      </w:r>
      <w:r>
        <w:br w:type="textWrapping"/>
      </w:r>
      <w:r>
        <w:t xml:space="preserve">1984bDorian Knossos and Aristotle’s Villages. In</w:t>
      </w:r>
      <w:r>
        <w:t xml:space="preserve"> </w:t>
      </w:r>
      <w:r>
        <w:rPr>
          <w:i/>
        </w:rPr>
        <w:t xml:space="preserve">Aux origines de l’Hellénisme: La crète et la grèce. hommage à henri van effenterre.</w:t>
      </w:r>
      <w:r>
        <w:t xml:space="preserve">, edited by Centre Gustave Glotz, pp. 311–322. Université de Paris-I, Paris.</w:t>
      </w:r>
    </w:p>
    <w:p>
      <w:pPr>
        <w:pStyle w:val="BodyText"/>
      </w:pPr>
      <w:r>
        <w:t xml:space="preserve">Coldstream, J.N.</w:t>
      </w:r>
      <w:r>
        <w:br w:type="textWrapping"/>
      </w:r>
      <w:r>
        <w:t xml:space="preserve">1991Knossos: An Urban Nucleus in the Dark Age. In</w:t>
      </w:r>
      <w:r>
        <w:t xml:space="preserve"> </w:t>
      </w:r>
      <w:r>
        <w:rPr>
          <w:i/>
        </w:rPr>
        <w:t xml:space="preserve">La transizione dal miceneo all’Alto arcaismo: Dal palazzo alla città. atti del convegno internazionale, roma, 14–19 marzo 1988.</w:t>
      </w:r>
      <w:r>
        <w:t xml:space="preserve">, edited by Domenico Musti, pp. 287–299. Consiglio nazionale delle ricerche, Roma.</w:t>
      </w:r>
    </w:p>
    <w:p>
      <w:pPr>
        <w:pStyle w:val="BodyText"/>
      </w:pPr>
      <w:r>
        <w:t xml:space="preserve">Coldstream, J.N.</w:t>
      </w:r>
      <w:r>
        <w:br w:type="textWrapping"/>
      </w:r>
      <w:r>
        <w:t xml:space="preserve">2000Evans’ Greek Finds: The Early Greek Town of Knossos, and its Encroachment on the Borders of the Minoan Palace.</w:t>
      </w:r>
      <w:r>
        <w:t xml:space="preserve"> </w:t>
      </w:r>
      <w:r>
        <w:rPr>
          <w:i/>
        </w:rPr>
        <w:t xml:space="preserve">BSA</w:t>
      </w:r>
      <w:r>
        <w:t xml:space="preserve"> </w:t>
      </w:r>
      <w:r>
        <w:t xml:space="preserve">95:260–299.</w:t>
      </w:r>
    </w:p>
    <w:p>
      <w:pPr>
        <w:pStyle w:val="BodyText"/>
      </w:pPr>
      <w:r>
        <w:t xml:space="preserve">Coldstream, J.N.</w:t>
      </w:r>
      <w:r>
        <w:br w:type="textWrapping"/>
      </w:r>
      <w:r>
        <w:t xml:space="preserve">2006Knossos in Early Greek Times. In</w:t>
      </w:r>
      <w:r>
        <w:t xml:space="preserve"> </w:t>
      </w:r>
      <w:r>
        <w:rPr>
          <w:i/>
        </w:rPr>
        <w:t xml:space="preserve">Ancient greece: From the mycenaean palaces to the age of homer</w:t>
      </w:r>
      <w:r>
        <w:t xml:space="preserve">, edited by Sigrid Deger-Jalkotzy and Irene S Lemos, pp. 581–596. Edinburgh University Press, Edinburgh.</w:t>
      </w:r>
    </w:p>
    <w:p>
      <w:pPr>
        <w:pStyle w:val="BodyText"/>
      </w:pPr>
      <w:r>
        <w:t xml:space="preserve">Coldstream, J.N., and G Huxley</w:t>
      </w:r>
      <w:r>
        <w:br w:type="textWrapping"/>
      </w:r>
      <w:r>
        <w:t xml:space="preserve">1996Fortetsa 1967 Tombs. In</w:t>
      </w:r>
      <w:r>
        <w:t xml:space="preserve"> </w:t>
      </w:r>
      <w:r>
        <w:rPr>
          <w:i/>
        </w:rPr>
        <w:t xml:space="preserve">Knossos north cemetery: Early greek tombs</w:t>
      </w:r>
      <w:r>
        <w:t xml:space="preserve">, edited by J.N. Coldstream and H W Catling, pp. 284. The British School at Athens Supplement 28. Vol.I, London.</w:t>
      </w:r>
    </w:p>
    <w:p>
      <w:pPr>
        <w:pStyle w:val="BodyText"/>
      </w:pPr>
      <w:r>
        <w:t xml:space="preserve">Crema, Enrico R</w:t>
      </w:r>
      <w:r>
        <w:br w:type="textWrapping"/>
      </w:r>
      <w:r>
        <w:t xml:space="preserve">2012Modelling Temporal Uncertainty in Archaeological Analysis.</w:t>
      </w:r>
      <w:r>
        <w:t xml:space="preserve"> </w:t>
      </w:r>
      <w:r>
        <w:rPr>
          <w:i/>
        </w:rPr>
        <w:t xml:space="preserve">Journal of Archaeological Method Theory</w:t>
      </w:r>
      <w:r>
        <w:t xml:space="preserve"> </w:t>
      </w:r>
      <w:r>
        <w:t xml:space="preserve">19(3):440–461.</w:t>
      </w:r>
    </w:p>
    <w:p>
      <w:pPr>
        <w:pStyle w:val="BodyText"/>
      </w:pPr>
      <w:r>
        <w:t xml:space="preserve">Crema, Enrico R., Andrew Bevan, and Mark W. Lake</w:t>
      </w:r>
      <w:r>
        <w:br w:type="textWrapping"/>
      </w:r>
      <w:r>
        <w:t xml:space="preserve">2010A probabilistic framework for assessing spatio-temporal point patterns in the archaeological record.</w:t>
      </w:r>
      <w:r>
        <w:t xml:space="preserve"> </w:t>
      </w:r>
      <w:r>
        <w:rPr>
          <w:i/>
        </w:rPr>
        <w:t xml:space="preserve">Journal of Archaeological Science</w:t>
      </w:r>
      <w:r>
        <w:t xml:space="preserve"> </w:t>
      </w:r>
      <w:r>
        <w:t xml:space="preserve">37(5):1118–1130.</w:t>
      </w:r>
    </w:p>
    <w:p>
      <w:pPr>
        <w:pStyle w:val="BodyText"/>
      </w:pPr>
      <w:r>
        <w:t xml:space="preserve">Crowe, Alice</w:t>
      </w:r>
      <w:r>
        <w:br w:type="textWrapping"/>
      </w:r>
      <w:r>
        <w:t xml:space="preserve">2016The Minoan Past in the Past: Bronze Age Objects in Early Iron Age Burials at Knossos, Crete.</w:t>
      </w:r>
      <w:r>
        <w:t xml:space="preserve"> </w:t>
      </w:r>
      <w:r>
        <w:rPr>
          <w:i/>
        </w:rPr>
        <w:t xml:space="preserve">Unpublished master’s dissertation.</w:t>
      </w:r>
    </w:p>
    <w:p>
      <w:pPr>
        <w:pStyle w:val="BodyText"/>
      </w:pPr>
      <w:r>
        <w:t xml:space="preserve">Davaras, C</w:t>
      </w:r>
      <w:r>
        <w:br w:type="textWrapping"/>
      </w:r>
      <w:r>
        <w:t xml:space="preserve">1968Two Geometric Tombs at Atsalenio near Knossos.</w:t>
      </w:r>
      <w:r>
        <w:t xml:space="preserve"> </w:t>
      </w:r>
      <w:r>
        <w:rPr>
          <w:i/>
        </w:rPr>
        <w:t xml:space="preserve">BSA</w:t>
      </w:r>
      <w:r>
        <w:t xml:space="preserve"> </w:t>
      </w:r>
      <w:r>
        <w:t xml:space="preserve">63:133–146.</w:t>
      </w:r>
    </w:p>
    <w:p>
      <w:pPr>
        <w:pStyle w:val="BodyText"/>
      </w:pPr>
      <w:r>
        <w:t xml:space="preserve">Desborough, Vincent Robin d’Arba</w:t>
      </w:r>
      <w:r>
        <w:br w:type="textWrapping"/>
      </w:r>
      <w:r>
        <w:t xml:space="preserve">1972</w:t>
      </w:r>
      <w:r>
        <w:rPr>
          <w:i/>
        </w:rPr>
        <w:t xml:space="preserve">The Greek Dark Ages</w:t>
      </w:r>
      <w:r>
        <w:t xml:space="preserve">. Benn, London.</w:t>
      </w:r>
    </w:p>
    <w:p>
      <w:pPr>
        <w:pStyle w:val="BodyText"/>
      </w:pPr>
      <w:r>
        <w:t xml:space="preserve">Evans, Arthur</w:t>
      </w:r>
      <w:r>
        <w:br w:type="textWrapping"/>
      </w:r>
      <w:r>
        <w:t xml:space="preserve">1921</w:t>
      </w:r>
      <w:r>
        <w:rPr>
          <w:i/>
        </w:rPr>
        <w:t xml:space="preserve">The palace of Minos: a comparative account of the successive stages of the early Cretan civilization as illustrated by the discoveries at Knossos I</w:t>
      </w:r>
      <w:r>
        <w:t xml:space="preserve">. Macmillan, London.</w:t>
      </w:r>
    </w:p>
    <w:p>
      <w:pPr>
        <w:pStyle w:val="BodyText"/>
      </w:pPr>
      <w:r>
        <w:t xml:space="preserve">Evans, Arthur</w:t>
      </w:r>
      <w:r>
        <w:br w:type="textWrapping"/>
      </w:r>
      <w:r>
        <w:t xml:space="preserve">1928</w:t>
      </w:r>
      <w:r>
        <w:rPr>
          <w:i/>
        </w:rPr>
        <w:t xml:space="preserve">The palace of Minos: a comparative account of the successive stages of the early Cretan civilization as illustrated by the discoveries at Knossos II</w:t>
      </w:r>
      <w:r>
        <w:t xml:space="preserve">. Macmillan, London.</w:t>
      </w:r>
    </w:p>
    <w:p>
      <w:pPr>
        <w:pStyle w:val="BodyText"/>
      </w:pPr>
      <w:r>
        <w:t xml:space="preserve">Evans, Arthur</w:t>
      </w:r>
      <w:r>
        <w:br w:type="textWrapping"/>
      </w:r>
      <w:r>
        <w:t xml:space="preserve">1930</w:t>
      </w:r>
      <w:r>
        <w:rPr>
          <w:i/>
        </w:rPr>
        <w:t xml:space="preserve">The palace of Minos: a comparative account of the successive stages of the early Cretan civilization as illustrated by the discoveries at Knossos III</w:t>
      </w:r>
      <w:r>
        <w:t xml:space="preserve">. Macmillan, London.</w:t>
      </w:r>
    </w:p>
    <w:p>
      <w:pPr>
        <w:pStyle w:val="BodyText"/>
      </w:pPr>
      <w:r>
        <w:t xml:space="preserve">Hallager, Birgitta P</w:t>
      </w:r>
      <w:r>
        <w:br w:type="textWrapping"/>
      </w:r>
      <w:r>
        <w:t xml:space="preserve">2010The elusive Late IIIC and the ill-named Subminoan.</w:t>
      </w:r>
      <w:r>
        <w:t xml:space="preserve"> </w:t>
      </w:r>
      <w:r>
        <w:rPr>
          <w:i/>
        </w:rPr>
        <w:t xml:space="preserve">British School at Athens Studies</w:t>
      </w:r>
      <w:r>
        <w:t xml:space="preserve"> </w:t>
      </w:r>
      <w:r>
        <w:t xml:space="preserve">18(CRETAN OFFERINGS: Studies in honour of Peter Warren):141–155.</w:t>
      </w:r>
    </w:p>
    <w:p>
      <w:pPr>
        <w:pStyle w:val="BodyText"/>
      </w:pPr>
      <w:r>
        <w:t xml:space="preserve">Hoffman, Gail L</w:t>
      </w:r>
      <w:r>
        <w:br w:type="textWrapping"/>
      </w:r>
      <w:r>
        <w:t xml:space="preserve">1997</w:t>
      </w:r>
      <w:r>
        <w:rPr>
          <w:i/>
        </w:rPr>
        <w:t xml:space="preserve">Imports and Immigrants: Near Eastern Contacts with Iron Age Crete</w:t>
      </w:r>
      <w:r>
        <w:t xml:space="preserve">. University of Michigan Press, Ann Arbor.</w:t>
      </w:r>
    </w:p>
    <w:p>
      <w:pPr>
        <w:pStyle w:val="BodyText"/>
      </w:pPr>
      <w:r>
        <w:t xml:space="preserve">Hogarth, D.G.</w:t>
      </w:r>
      <w:r>
        <w:br w:type="textWrapping"/>
      </w:r>
      <w:r>
        <w:t xml:space="preserve">1899Knossos: Early Town and Cemeteries.</w:t>
      </w:r>
      <w:r>
        <w:t xml:space="preserve"> </w:t>
      </w:r>
      <w:r>
        <w:rPr>
          <w:i/>
        </w:rPr>
        <w:t xml:space="preserve">BSA</w:t>
      </w:r>
      <w:r>
        <w:t xml:space="preserve"> </w:t>
      </w:r>
      <w:r>
        <w:t xml:space="preserve">6:70–85.</w:t>
      </w:r>
    </w:p>
    <w:p>
      <w:pPr>
        <w:pStyle w:val="BodyText"/>
      </w:pPr>
      <w:r>
        <w:t xml:space="preserve">Hood, Sinclair, and David Smyth</w:t>
      </w:r>
      <w:r>
        <w:br w:type="textWrapping"/>
      </w:r>
      <w:r>
        <w:t xml:space="preserve">1981</w:t>
      </w:r>
      <w:r>
        <w:rPr>
          <w:i/>
        </w:rPr>
        <w:t xml:space="preserve">Archaeological Survey of the Knossos Area. The British School at Athens Supplementary Volumes, No. 14.</w:t>
      </w:r>
      <w:r>
        <w:t xml:space="preserve"> </w:t>
      </w:r>
      <w:r>
        <w:t xml:space="preserve">2nd ed. Thames; Hudson, London.</w:t>
      </w:r>
    </w:p>
    <w:p>
      <w:pPr>
        <w:pStyle w:val="BodyText"/>
      </w:pPr>
      <w:r>
        <w:t xml:space="preserve">Hutchinson, R.W., and John Boardman</w:t>
      </w:r>
      <w:r>
        <w:br w:type="textWrapping"/>
      </w:r>
      <w:r>
        <w:t xml:space="preserve">1954The Khaniale Tekke Tombs.</w:t>
      </w:r>
      <w:r>
        <w:t xml:space="preserve"> </w:t>
      </w:r>
      <w:r>
        <w:rPr>
          <w:i/>
        </w:rPr>
        <w:t xml:space="preserve">BSA</w:t>
      </w:r>
      <w:r>
        <w:t xml:space="preserve"> </w:t>
      </w:r>
      <w:r>
        <w:t xml:space="preserve">49:215–230.</w:t>
      </w:r>
    </w:p>
    <w:p>
      <w:pPr>
        <w:pStyle w:val="BodyText"/>
      </w:pPr>
      <w:r>
        <w:t xml:space="preserve">Huxley, G</w:t>
      </w:r>
      <w:r>
        <w:br w:type="textWrapping"/>
      </w:r>
      <w:r>
        <w:t xml:space="preserve">1994On Knossos and her Neighbours (7th Century to Mid-4th Century B.C.). In</w:t>
      </w:r>
      <w:r>
        <w:t xml:space="preserve"> </w:t>
      </w:r>
      <w:r>
        <w:rPr>
          <w:i/>
        </w:rPr>
        <w:t xml:space="preserve">Knossos: A labyrinth of history. papers presented in honour of sinclair hood</w:t>
      </w:r>
      <w:r>
        <w:t xml:space="preserve">, edited by Don Evely, Helen Hughes-Brock, and Nicoletta Momigliano, pp. 123–134. The British School at Athens, Oxford.</w:t>
      </w:r>
    </w:p>
    <w:p>
      <w:pPr>
        <w:pStyle w:val="BodyText"/>
      </w:pPr>
      <w:r>
        <w:t xml:space="preserve">Johnson, Ian</w:t>
      </w:r>
      <w:r>
        <w:br w:type="textWrapping"/>
      </w:r>
      <w:r>
        <w:t xml:space="preserve">2004Aorisitc Analysis: Seeds of a new approach to mapping archaeological distributions through time. In</w:t>
      </w:r>
      <w:r>
        <w:t xml:space="preserve"> </w:t>
      </w:r>
      <w:r>
        <w:rPr>
          <w:i/>
        </w:rPr>
        <w:t xml:space="preserve">[Enter the past]. the e-way into the four dimensions of cultural heritage. caa 2003. computer applications and quantitative methods in archaeology. proceedings of the 31st conference, vienna, austria, april 2003</w:t>
      </w:r>
      <w:r>
        <w:t xml:space="preserve">, edited by K Ausserer Fischer, W Börner, M Goriany, and L Karlhuber-Vöckl, pp. 448–452. BAR International Series 1227, Oxford.</w:t>
      </w:r>
    </w:p>
    <w:p>
      <w:pPr>
        <w:pStyle w:val="BodyText"/>
      </w:pPr>
      <w:r>
        <w:t xml:space="preserve">Knappett, Carl</w:t>
      </w:r>
      <w:r>
        <w:br w:type="textWrapping"/>
      </w:r>
      <w:r>
        <w:t xml:space="preserve">2011</w:t>
      </w:r>
      <w:r>
        <w:rPr>
          <w:i/>
        </w:rPr>
        <w:t xml:space="preserve">An archaeology of interaction: network perspectives on material culture and society</w:t>
      </w:r>
      <w:r>
        <w:t xml:space="preserve">. Oxford University Press, Oxford.</w:t>
      </w:r>
    </w:p>
    <w:p>
      <w:pPr>
        <w:pStyle w:val="BodyText"/>
      </w:pPr>
      <w:r>
        <w:t xml:space="preserve">Kopytoff, I</w:t>
      </w:r>
      <w:r>
        <w:br w:type="textWrapping"/>
      </w:r>
      <w:r>
        <w:t xml:space="preserve">1986The cultural biography of things: commoditization as process. In</w:t>
      </w:r>
      <w:r>
        <w:t xml:space="preserve"> </w:t>
      </w:r>
      <w:r>
        <w:rPr>
          <w:i/>
        </w:rPr>
        <w:t xml:space="preserve">The social life of things: Commodities in cultural …</w:t>
      </w:r>
      <w:r>
        <w:t xml:space="preserve">, edited by Arjun Appadurai, pp. 64–92. Cambridge University Press, Cambridge.</w:t>
      </w:r>
    </w:p>
    <w:p>
      <w:pPr>
        <w:pStyle w:val="BodyText"/>
      </w:pPr>
      <w:r>
        <w:t xml:space="preserve">Kotsonas, Antonis</w:t>
      </w:r>
      <w:r>
        <w:br w:type="textWrapping"/>
      </w:r>
      <w:r>
        <w:t xml:space="preserve">2002The rise of the polis in Central Crete.</w:t>
      </w:r>
      <w:r>
        <w:t xml:space="preserve"> </w:t>
      </w:r>
      <w:r>
        <w:rPr>
          <w:i/>
        </w:rPr>
        <w:t xml:space="preserve">’Eulimene</w:t>
      </w:r>
      <w:r>
        <w:t xml:space="preserve">(3):37–74.</w:t>
      </w:r>
    </w:p>
    <w:p>
      <w:pPr>
        <w:pStyle w:val="BodyText"/>
      </w:pPr>
      <w:r>
        <w:t xml:space="preserve">Kotsonas, Antonis</w:t>
      </w:r>
      <w:r>
        <w:br w:type="textWrapping"/>
      </w:r>
      <w:r>
        <w:t xml:space="preserve">2006Wealth and Status in Iron Age Knossos.</w:t>
      </w:r>
      <w:r>
        <w:t xml:space="preserve"> </w:t>
      </w:r>
      <w:r>
        <w:rPr>
          <w:i/>
        </w:rPr>
        <w:t xml:space="preserve">Oxford Journal of Archaeology</w:t>
      </w:r>
      <w:r>
        <w:t xml:space="preserve"> </w:t>
      </w:r>
      <w:r>
        <w:t xml:space="preserve">2:149–172.</w:t>
      </w:r>
    </w:p>
    <w:p>
      <w:pPr>
        <w:pStyle w:val="BodyText"/>
      </w:pPr>
      <w:r>
        <w:t xml:space="preserve">Kotsonas, Antonis</w:t>
      </w:r>
      <w:r>
        <w:br w:type="textWrapping"/>
      </w:r>
      <w:r>
        <w:t xml:space="preserve">2011aSaro Wallace, Ancient Crete: From Successful Collapse to Democracy’s Alternatives, Twelfth to Fifth Centuries BC. Cambridge/New York: Cambridge University Press, 2010. Pp. xxvi, 450; 6 p. of plates. ISBN 9780521112048. $99.00.</w:t>
      </w:r>
      <w:r>
        <w:t xml:space="preserve"> </w:t>
      </w:r>
      <w:r>
        <w:rPr>
          <w:i/>
        </w:rPr>
        <w:t xml:space="preserve">Bryn Mawr Classical Review</w:t>
      </w:r>
      <w:r>
        <w:t xml:space="preserve"> </w:t>
      </w:r>
      <w:r>
        <w:t xml:space="preserve">4(52).</w:t>
      </w:r>
    </w:p>
    <w:p>
      <w:pPr>
        <w:pStyle w:val="BodyText"/>
      </w:pPr>
      <w:r>
        <w:t xml:space="preserve">Kotsonas, Antonis</w:t>
      </w:r>
      <w:r>
        <w:br w:type="textWrapping"/>
      </w:r>
      <w:r>
        <w:t xml:space="preserve">2011bQuantification of ceramics from Early Iron Age tombs. In</w:t>
      </w:r>
      <w:r>
        <w:t xml:space="preserve"> </w:t>
      </w:r>
      <w:r>
        <w:rPr>
          <w:i/>
        </w:rPr>
        <w:t xml:space="preserve">Early iron age pottery : A quantitative approach : Proceedings of the international round table organized by the swiss school of archaeology in greece (athens, november 28-30, 2008)</w:t>
      </w:r>
      <w:r>
        <w:t xml:space="preserve">, edited by Samuel Verdan, Thierry Theurillat, and Anne Pfyffer Kenzelmann, pp. 129–138. Archaeopress, Oxford.</w:t>
      </w:r>
    </w:p>
    <w:p>
      <w:pPr>
        <w:pStyle w:val="BodyText"/>
      </w:pPr>
      <w:r>
        <w:t xml:space="preserve">Kotsonas, Antonis</w:t>
      </w:r>
      <w:r>
        <w:br w:type="textWrapping"/>
      </w:r>
      <w:r>
        <w:t xml:space="preserve">2016Politics of Periodization and the Archaeology of Early Greece.</w:t>
      </w:r>
      <w:r>
        <w:t xml:space="preserve"> </w:t>
      </w:r>
      <w:r>
        <w:rPr>
          <w:i/>
        </w:rPr>
        <w:t xml:space="preserve">American Journal of Archaeology</w:t>
      </w:r>
      <w:r>
        <w:t xml:space="preserve"> </w:t>
      </w:r>
      <w:r>
        <w:t xml:space="preserve">120(2):239–270.</w:t>
      </w:r>
    </w:p>
    <w:p>
      <w:pPr>
        <w:pStyle w:val="BodyText"/>
      </w:pPr>
      <w:r>
        <w:t xml:space="preserve">Kotsonas, Antonis, Todd Whitelaw, Antonis Vasilakis, and Maria Bredaki</w:t>
      </w:r>
      <w:r>
        <w:br w:type="textWrapping"/>
      </w:r>
      <w:r>
        <w:t xml:space="preserve">2011Early Iron Age Knossos: An overview from the Knossos Urban Landscape Project (KULP). In</w:t>
      </w:r>
      <w:r>
        <w:t xml:space="preserve"> </w:t>
      </w:r>
      <m:oMath>
        <m:r>
          <m:t>Π</m:t>
        </m:r>
      </m:oMath>
      <m:oMath>
        <m:r>
          <m:t>ϵ</m:t>
        </m:r>
      </m:oMath>
      <m:oMath>
        <m:r>
          <m:t>π</m:t>
        </m:r>
      </m:oMath>
      <m:oMath>
        <m:r>
          <m:t>ρ</m:t>
        </m:r>
      </m:oMath>
      <m:oMath>
        <m:r>
          <m:t>α</m:t>
        </m:r>
      </m:oMath>
      <m:oMath>
        <m:r>
          <m:t>γ</m:t>
        </m:r>
      </m:oMath>
      <m:oMath>
        <m:r>
          <m:t>μ</m:t>
        </m:r>
      </m:oMath>
      <w:r>
        <w:rPr>
          <w:i/>
        </w:rPr>
        <w:t xml:space="preserve">Έ</w:t>
      </w:r>
      <m:oMath>
        <m:r>
          <m:t>ν</m:t>
        </m:r>
      </m:oMath>
      <m:oMath>
        <m:r>
          <m:t>α</m:t>
        </m:r>
      </m:oMath>
      <w:r>
        <w:rPr>
          <w:i/>
        </w:rPr>
        <w:t xml:space="preserve"> </w:t>
      </w:r>
      <m:oMath>
        <m:r>
          <m:t>τ</m:t>
        </m:r>
      </m:oMath>
      <w:r>
        <w:rPr>
          <w:i/>
        </w:rPr>
        <w:t xml:space="preserve">ο</w:t>
      </w:r>
      <m:oMath>
        <m:r>
          <m:t>υ</m:t>
        </m:r>
      </m:oMath>
      <w:r>
        <w:rPr>
          <w:i/>
        </w:rPr>
        <w:t xml:space="preserve"> </w:t>
      </w:r>
      <w:r>
        <w:rPr>
          <w:i/>
        </w:rPr>
        <w:t xml:space="preserve">11ο</w:t>
      </w:r>
      <m:oMath>
        <m:r>
          <m:t>υ</m:t>
        </m:r>
      </m:oMath>
      <w:r>
        <w:rPr>
          <w:i/>
        </w:rPr>
        <w:t xml:space="preserve"> </w:t>
      </w:r>
      <m:oMath>
        <m:r>
          <m:t>Δ</m:t>
        </m:r>
      </m:oMath>
      <m:oMath>
        <m:r>
          <m:t>ι</m:t>
        </m:r>
      </m:oMath>
      <m:oMath>
        <m:r>
          <m:t>ϵ</m:t>
        </m:r>
      </m:oMath>
      <m:oMath>
        <m:r>
          <m:t>θ</m:t>
        </m:r>
      </m:oMath>
      <w:r>
        <w:rPr>
          <w:i/>
        </w:rPr>
        <w:t xml:space="preserve">ούς κ</w:t>
      </w:r>
      <m:oMath>
        <m:r>
          <m:t>ρ</m:t>
        </m:r>
      </m:oMath>
      <m:oMath>
        <m:r>
          <m:t>η</m:t>
        </m:r>
      </m:oMath>
      <m:oMath>
        <m:r>
          <m:t>τ</m:t>
        </m:r>
      </m:oMath>
      <w:r>
        <w:rPr>
          <w:i/>
        </w:rPr>
        <w:t xml:space="preserve">ο</w:t>
      </w:r>
      <m:oMath>
        <m:r>
          <m:t>λ</m:t>
        </m:r>
      </m:oMath>
      <w:r>
        <w:rPr>
          <w:i/>
        </w:rPr>
        <w:t xml:space="preserve">ο</w:t>
      </w:r>
      <m:oMath>
        <m:r>
          <m:t>γ</m:t>
        </m:r>
      </m:oMath>
      <m:oMath>
        <m:r>
          <m:t>ι</m:t>
        </m:r>
      </m:oMath>
      <m:oMath>
        <m:r>
          <m:t>κ</m:t>
        </m:r>
      </m:oMath>
      <w:r>
        <w:rPr>
          <w:i/>
        </w:rPr>
        <w:t xml:space="preserve">ού</w:t>
      </w:r>
      <w:r>
        <w:rPr>
          <w:i/>
        </w:rPr>
        <w:t xml:space="preserve"> </w:t>
      </w:r>
      <m:oMath>
        <m:r>
          <m:t>Σ</m:t>
        </m:r>
      </m:oMath>
      <m:oMath>
        <m:r>
          <m:t>υ</m:t>
        </m:r>
      </m:oMath>
      <m:oMath>
        <m:r>
          <m:t>ν</m:t>
        </m:r>
      </m:oMath>
      <m:oMath>
        <m:r>
          <m:t>ϵ</m:t>
        </m:r>
      </m:oMath>
      <m:oMath>
        <m:r>
          <m:t>ρ</m:t>
        </m:r>
      </m:oMath>
      <m:oMath>
        <m:r>
          <m:t>δ</m:t>
        </m:r>
      </m:oMath>
      <w:r>
        <w:rPr>
          <w:i/>
        </w:rPr>
        <w:t xml:space="preserve">ίο</w:t>
      </w:r>
      <m:oMath>
        <m:r>
          <m:t>υ</m:t>
        </m:r>
      </m:oMath>
      <w:r>
        <w:rPr>
          <w:i/>
        </w:rPr>
        <w:t xml:space="preserve">, ρέ</w:t>
      </w:r>
      <m:oMath>
        <m:r>
          <m:t>θ</m:t>
        </m:r>
      </m:oMath>
      <m:oMath>
        <m:r>
          <m:t>υ</m:t>
        </m:r>
      </m:oMath>
      <m:oMath>
        <m:r>
          <m:t>μ</m:t>
        </m:r>
      </m:oMath>
      <m:oMath>
        <m:r>
          <m:t>ν</m:t>
        </m:r>
      </m:oMath>
      <w:r>
        <w:rPr>
          <w:i/>
        </w:rPr>
        <w:t xml:space="preserve">ο, 21-27 ο</w:t>
      </w:r>
      <m:oMath>
        <m:r>
          <m:t>κ</m:t>
        </m:r>
      </m:oMath>
      <m:oMath>
        <m:r>
          <m:t>τ</m:t>
        </m:r>
      </m:oMath>
      <m:oMath>
        <m:r>
          <m:t>ω</m:t>
        </m:r>
      </m:oMath>
      <m:oMath>
        <m:r>
          <m:t>β</m:t>
        </m:r>
      </m:oMath>
      <m:oMath>
        <m:r>
          <m:t>ρ</m:t>
        </m:r>
      </m:oMath>
      <w:r>
        <w:rPr>
          <w:i/>
        </w:rPr>
        <w:t xml:space="preserve">ίο</w:t>
      </w:r>
      <m:oMath>
        <m:r>
          <m:t>υ</m:t>
        </m:r>
      </m:oMath>
      <w:r>
        <w:rPr>
          <w:i/>
        </w:rPr>
        <w:t xml:space="preserve"> </w:t>
      </w:r>
      <w:r>
        <w:rPr>
          <w:i/>
        </w:rPr>
        <w:t xml:space="preserve">2011</w:t>
      </w:r>
      <w:r>
        <w:t xml:space="preserve">. Ρέ</w:t>
      </w:r>
      <m:oMath>
        <m:r>
          <m:t>θ</m:t>
        </m:r>
      </m:oMath>
      <m:oMath>
        <m:r>
          <m:t>υ</m:t>
        </m:r>
      </m:oMath>
      <m:oMath>
        <m:r>
          <m:t>μ</m:t>
        </m:r>
      </m:oMath>
      <m:oMath>
        <m:r>
          <m:t>ν</m:t>
        </m:r>
      </m:oMath>
      <w:r>
        <w:t xml:space="preserve">ο.</w:t>
      </w:r>
    </w:p>
    <w:p>
      <w:pPr>
        <w:pStyle w:val="BodyText"/>
      </w:pPr>
      <w:r>
        <w:t xml:space="preserve">Marwick, Ben</w:t>
      </w:r>
      <w:r>
        <w:br w:type="textWrapping"/>
      </w:r>
      <w:r>
        <w:t xml:space="preserve">2017Computational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24(2):424–450. DOI:</w:t>
      </w:r>
      <w:hyperlink r:id="rId66">
        <w:r>
          <w:rPr>
            <w:rStyle w:val="Hyperlink"/>
          </w:rPr>
          <w:t xml:space="preserve">10.1007/s10816-015-9272-9</w:t>
        </w:r>
      </w:hyperlink>
      <w:r>
        <w:t xml:space="preserve">.</w:t>
      </w:r>
    </w:p>
    <w:p>
      <w:pPr>
        <w:pStyle w:val="BodyText"/>
      </w:pPr>
      <w:r>
        <w:t xml:space="preserve">Mauss, Marcel</w:t>
      </w:r>
      <w:r>
        <w:br w:type="textWrapping"/>
      </w:r>
      <w:r>
        <w:t xml:space="preserve">1954</w:t>
      </w:r>
      <w:r>
        <w:rPr>
          <w:i/>
        </w:rPr>
        <w:t xml:space="preserve">The gift: forms and functions of exchange in archaic societies</w:t>
      </w:r>
      <w:r>
        <w:t xml:space="preserve">. Edited by Ian Cunnison. Cohen &amp; West, London.</w:t>
      </w:r>
    </w:p>
    <w:p>
      <w:pPr>
        <w:pStyle w:val="BodyText"/>
      </w:pPr>
      <w:r>
        <w:t xml:space="preserve">Morris, I</w:t>
      </w:r>
      <w:r>
        <w:br w:type="textWrapping"/>
      </w:r>
      <w:r>
        <w:t xml:space="preserve">1997Periodization and the Heroes: Inventing a Dark Age. In</w:t>
      </w:r>
      <w:r>
        <w:t xml:space="preserve"> </w:t>
      </w:r>
      <w:r>
        <w:rPr>
          <w:i/>
        </w:rPr>
        <w:t xml:space="preserve">Inventing ancient culture</w:t>
      </w:r>
      <w:r>
        <w:t xml:space="preserve">, edited by Mark Golden and Peter Toohey, pp. 96–131. Routledge, London.</w:t>
      </w:r>
    </w:p>
    <w:p>
      <w:pPr>
        <w:pStyle w:val="BodyText"/>
      </w:pPr>
      <w:r>
        <w:t xml:space="preserve">Nowicki, Krzysztof</w:t>
      </w:r>
      <w:r>
        <w:br w:type="textWrapping"/>
      </w:r>
      <w:r>
        <w:t xml:space="preserve">2000</w:t>
      </w:r>
      <w:r>
        <w:rPr>
          <w:i/>
        </w:rPr>
        <w:t xml:space="preserve">Defensible sites in Crete c.1200-800 B.C. : (LM IIIB/IIIC through early Geometric)</w:t>
      </w:r>
      <w:r>
        <w:t xml:space="preserve">. Université de Liège, Liège.</w:t>
      </w:r>
    </w:p>
    <w:p>
      <w:pPr>
        <w:pStyle w:val="BodyText"/>
      </w:pPr>
      <w:r>
        <w:t xml:space="preserve">Ratcliffe, Jerry H.</w:t>
      </w:r>
      <w:r>
        <w:br w:type="textWrapping"/>
      </w:r>
      <w:r>
        <w:t xml:space="preserve">2000Aoristic analysis: the spatial interpretation of unspecific temporal events.</w:t>
      </w:r>
      <w:r>
        <w:t xml:space="preserve"> </w:t>
      </w:r>
      <w:r>
        <w:rPr>
          <w:i/>
        </w:rPr>
        <w:t xml:space="preserve">International Journal of Geographical Information Science</w:t>
      </w:r>
      <w:r>
        <w:t xml:space="preserve"> </w:t>
      </w:r>
      <w:r>
        <w:t xml:space="preserve">14(7):669–679.</w:t>
      </w:r>
    </w:p>
    <w:p>
      <w:pPr>
        <w:pStyle w:val="BodyText"/>
      </w:pPr>
      <w:r>
        <w:t xml:space="preserve">Schreiber, N</w:t>
      </w:r>
      <w:r>
        <w:br w:type="textWrapping"/>
      </w:r>
      <w:r>
        <w:t xml:space="preserve">2003</w:t>
      </w:r>
      <w:r>
        <w:rPr>
          <w:i/>
        </w:rPr>
        <w:t xml:space="preserve">The Cypro-Phoenician Pottery of the Iron Age</w:t>
      </w:r>
      <w:r>
        <w:t xml:space="preserve">. Brill, Leiden/Boston.</w:t>
      </w:r>
    </w:p>
    <w:p>
      <w:pPr>
        <w:pStyle w:val="BodyText"/>
      </w:pPr>
      <w:r>
        <w:t xml:space="preserve">Snodgrass, Anthony McElrea</w:t>
      </w:r>
      <w:r>
        <w:br w:type="textWrapping"/>
      </w:r>
      <w:r>
        <w:t xml:space="preserve">1971</w:t>
      </w:r>
      <w:r>
        <w:rPr>
          <w:i/>
        </w:rPr>
        <w:t xml:space="preserve">The Dark Age of Greece</w:t>
      </w:r>
      <w:r>
        <w:t xml:space="preserve">. Edinburgh University Press, Edinburgh.</w:t>
      </w:r>
    </w:p>
    <w:p>
      <w:pPr>
        <w:pStyle w:val="BodyText"/>
      </w:pPr>
      <w:r>
        <w:t xml:space="preserve">Wallace, Saro</w:t>
      </w:r>
      <w:r>
        <w:br w:type="textWrapping"/>
      </w:r>
      <w:r>
        <w:t xml:space="preserve">2010</w:t>
      </w:r>
      <w:r>
        <w:rPr>
          <w:i/>
        </w:rPr>
        <w:t xml:space="preserve">Ancient Crete: From Successful Collapse to Democracy’s Alternatives, Twelth to Fifth Centuries BC</w:t>
      </w:r>
      <w:r>
        <w:t xml:space="preserve">. Cambridge University Press#, Cambridge.</w:t>
      </w:r>
    </w:p>
    <w:p>
      <w:pPr>
        <w:pStyle w:val="BodyText"/>
      </w:pPr>
      <w:r>
        <w:t xml:space="preserve">Whitley, James</w:t>
      </w:r>
      <w:r>
        <w:br w:type="textWrapping"/>
      </w:r>
      <w:r>
        <w:t xml:space="preserve">2002Objects with Attitude: Biographical Facts and Fallacies in the Study of Late Bronze Age and Early Iron Age Warrior Graves.</w:t>
      </w:r>
      <w:r>
        <w:t xml:space="preserve"> </w:t>
      </w:r>
      <w:r>
        <w:rPr>
          <w:i/>
        </w:rPr>
        <w:t xml:space="preserve">Cambridge Archaeological Journal</w:t>
      </w:r>
      <w:r>
        <w:t xml:space="preserve"> </w:t>
      </w:r>
      <w:r>
        <w:t xml:space="preserve">12(2):217–232.</w:t>
      </w:r>
    </w:p>
    <w:p>
      <w:pPr>
        <w:pStyle w:val="BodyText"/>
      </w:pPr>
      <w:r>
        <w:t xml:space="preserve">Whitley, James</w:t>
      </w:r>
      <w:r>
        <w:br w:type="textWrapping"/>
      </w:r>
      <w:r>
        <w:t xml:space="preserve">2011Saro Wallace. Ancient Crete: From Successful Collapse to Democracy’s Alternatives, Twelfth to Fifth Centuries BC. (review).</w:t>
      </w:r>
      <w:r>
        <w:t xml:space="preserve"> </w:t>
      </w:r>
      <w:r>
        <w:rPr>
          <w:i/>
        </w:rPr>
        <w:t xml:space="preserve">American Journal of Philology</w:t>
      </w:r>
      <w:r>
        <w:t xml:space="preserve"> </w:t>
      </w:r>
      <w:r>
        <w:t xml:space="preserve">132(4):667–670. DOI:</w:t>
      </w:r>
      <w:hyperlink r:id="rId67">
        <w:r>
          <w:rPr>
            <w:rStyle w:val="Hyperlink"/>
          </w:rPr>
          <w:t xml:space="preserve">10.1353/ajp.2011.0043</w:t>
        </w:r>
      </w:hyperlink>
      <w:r>
        <w:t xml:space="preserve">.</w:t>
      </w:r>
    </w:p>
    <w:p>
      <w:pPr>
        <w:pStyle w:val="BodyText"/>
      </w:pPr>
      <w:r>
        <w:t xml:space="preserve">Α</w:t>
      </w:r>
      <m:oMath>
        <m:r>
          <m:t>λ</m:t>
        </m:r>
      </m:oMath>
      <m:oMath>
        <m:r>
          <m:t>ϵ</m:t>
        </m:r>
      </m:oMath>
      <m:oMath>
        <m:r>
          <m:t>ξ</m:t>
        </m:r>
      </m:oMath>
      <w:r>
        <w:t xml:space="preserve">ίο</w:t>
      </w:r>
      <m:oMath>
        <m:r>
          <m:t>υ</m:t>
        </m:r>
      </m:oMath>
      <w:r>
        <w:t xml:space="preserve">,</w:t>
      </w:r>
      <w:r>
        <w:t xml:space="preserve"> </w:t>
      </w:r>
      <m:oMath>
        <m:r>
          <m:t>Σ</m:t>
        </m:r>
      </m:oMath>
      <w:r>
        <w:t xml:space="preserve">.</w:t>
      </w:r>
      <w:r>
        <w:br w:type="textWrapping"/>
      </w:r>
      <w:r>
        <w:t xml:space="preserve">1950</w:t>
      </w:r>
      <m:oMath>
        <m:r>
          <m:t>Π</m:t>
        </m:r>
      </m:oMath>
      <m:oMath>
        <m:r>
          <m:t>α</m:t>
        </m:r>
      </m:oMath>
      <m:oMath>
        <m:r>
          <m:t>ρ</m:t>
        </m:r>
      </m:oMath>
      <m:oMath>
        <m:r>
          <m:t>α</m:t>
        </m:r>
      </m:oMath>
      <m:oMath>
        <m:r>
          <m:t>σ</m:t>
        </m:r>
      </m:oMath>
      <m:oMath>
        <m:r>
          <m:t>τ</m:t>
        </m:r>
      </m:oMath>
      <w:r>
        <w:t xml:space="preserve">ά</w:t>
      </w:r>
      <m:oMath>
        <m:r>
          <m:t>σ</m:t>
        </m:r>
      </m:oMath>
      <m:oMath>
        <m:r>
          <m:t>ϵ</m:t>
        </m:r>
      </m:oMath>
      <m:oMath>
        <m:r>
          <m:t>ι</m:t>
        </m:r>
      </m:oMath>
      <w:r>
        <w:t xml:space="preserve">ς</w:t>
      </w:r>
      <w:r>
        <w:t xml:space="preserve"> </w:t>
      </w:r>
      <m:oMath>
        <m:r>
          <m:t>π</m:t>
        </m:r>
      </m:oMath>
      <w:r>
        <w:t xml:space="preserve">ο</w:t>
      </w:r>
      <m:oMath>
        <m:r>
          <m:t>λ</m:t>
        </m:r>
      </m:oMath>
      <w:r>
        <w:t xml:space="preserve">ύ</w:t>
      </w:r>
      <m:oMath>
        <m:r>
          <m:t>π</m:t>
        </m:r>
      </m:oMath>
      <w:r>
        <w:t xml:space="preserve">ο</w:t>
      </w:r>
      <m:oMath>
        <m:r>
          <m:t>δ</m:t>
        </m:r>
      </m:oMath>
      <w:r>
        <w:t xml:space="preserve">ος</w:t>
      </w:r>
      <w:r>
        <w:t xml:space="preserve"> </w:t>
      </w:r>
      <m:oMath>
        <m:r>
          <m:t>ϵ</m:t>
        </m:r>
      </m:oMath>
      <m:oMath>
        <m:r>
          <m:t>π</m:t>
        </m:r>
      </m:oMath>
      <w:r>
        <w:t xml:space="preserve">ί</w:t>
      </w:r>
      <w:r>
        <w:t xml:space="preserve"> </w:t>
      </w:r>
      <m:oMath>
        <m:r>
          <m:t>Π</m:t>
        </m:r>
      </m:oMath>
      <m:oMath>
        <m:r>
          <m:t>ρ</m:t>
        </m:r>
      </m:oMath>
      <m:oMath>
        <m:r>
          <m:t>ω</m:t>
        </m:r>
      </m:oMath>
      <m:oMath>
        <m:r>
          <m:t>τ</m:t>
        </m:r>
      </m:oMath>
      <w:r>
        <w:t xml:space="preserve">ο</w:t>
      </w:r>
      <m:oMath>
        <m:r>
          <m:t>ϵ</m:t>
        </m:r>
      </m:oMath>
      <m:oMath>
        <m:r>
          <m:t>λ</m:t>
        </m:r>
      </m:oMath>
      <m:oMath>
        <m:r>
          <m:t>λ</m:t>
        </m:r>
      </m:oMath>
      <m:oMath>
        <m:r>
          <m:t>η</m:t>
        </m:r>
      </m:oMath>
      <m:oMath>
        <m:r>
          <m:t>ν</m:t>
        </m:r>
      </m:oMath>
      <m:oMath>
        <m:r>
          <m:t>ι</m:t>
        </m:r>
      </m:oMath>
      <m:oMath>
        <m:r>
          <m:t>κ</m:t>
        </m:r>
      </m:oMath>
      <w:r>
        <w:t xml:space="preserve">ώ</w:t>
      </w:r>
      <m:oMath>
        <m:r>
          <m:t>ν</m:t>
        </m:r>
      </m:oMath>
      <w:r>
        <w:t xml:space="preserve"> </w:t>
      </w:r>
      <m:oMath>
        <m:r>
          <m:t>α</m:t>
        </m:r>
      </m:oMath>
      <m:oMath>
        <m:r>
          <m:t>γ</m:t>
        </m:r>
      </m:oMath>
      <m:oMath>
        <m:r>
          <m:t>γ</m:t>
        </m:r>
      </m:oMath>
      <m:oMath>
        <m:r>
          <m:t>ϵ</m:t>
        </m:r>
      </m:oMath>
      <w:r>
        <w:t xml:space="preserve">ί</w:t>
      </w:r>
      <m:oMath>
        <m:r>
          <m:t>ω</m:t>
        </m:r>
      </m:oMath>
      <m:oMath>
        <m:r>
          <m:t>ν</m:t>
        </m:r>
      </m:oMath>
      <w:r>
        <w:t xml:space="preserve"> </w:t>
      </w:r>
      <m:oMath>
        <m:r>
          <m:t>ϵ</m:t>
        </m:r>
      </m:oMath>
      <m:oMath>
        <m:r>
          <m:t>κ</m:t>
        </m:r>
      </m:oMath>
      <w:r>
        <w:t xml:space="preserve"> </w:t>
      </w:r>
      <w:r>
        <w:t xml:space="preserve">Κ</w:t>
      </w:r>
      <m:oMath>
        <m:r>
          <m:t>ρ</m:t>
        </m:r>
      </m:oMath>
      <w:r>
        <w:t xml:space="preserve">ή</w:t>
      </w:r>
      <m:oMath>
        <m:r>
          <m:t>τ</m:t>
        </m:r>
      </m:oMath>
      <m:oMath>
        <m:r>
          <m:t>η</m:t>
        </m:r>
      </m:oMath>
      <w:r>
        <w:t xml:space="preserve">ς.</w:t>
      </w:r>
      <w:r>
        <w:t xml:space="preserve"> </w:t>
      </w:r>
      <w:r>
        <w:rPr>
          <w:i/>
        </w:rPr>
        <w:t xml:space="preserve">Κ</w:t>
      </w:r>
      <m:oMath>
        <m:r>
          <m:t>ρ</m:t>
        </m:r>
      </m:oMath>
      <m:oMath>
        <m:r>
          <m:t>η</m:t>
        </m:r>
      </m:oMath>
      <m:oMath>
        <m:r>
          <m:t>τ</m:t>
        </m:r>
      </m:oMath>
      <m:oMath>
        <m:r>
          <m:t>ι</m:t>
        </m:r>
      </m:oMath>
      <m:oMath>
        <m:r>
          <m:t>κ</m:t>
        </m:r>
      </m:oMath>
      <w:r>
        <w:rPr>
          <w:i/>
        </w:rPr>
        <w:t xml:space="preserve">ά Χ</w:t>
      </w:r>
      <m:oMath>
        <m:r>
          <m:t>ρ</m:t>
        </m:r>
      </m:oMath>
      <w:r>
        <w:rPr>
          <w:i/>
        </w:rPr>
        <w:t xml:space="preserve">ο</w:t>
      </w:r>
      <m:oMath>
        <m:r>
          <m:t>ν</m:t>
        </m:r>
      </m:oMath>
      <m:oMath>
        <m:r>
          <m:t>ι</m:t>
        </m:r>
      </m:oMath>
      <m:oMath>
        <m:r>
          <m:t>κ</m:t>
        </m:r>
      </m:oMath>
      <w:r>
        <w:rPr>
          <w:i/>
        </w:rPr>
        <w:t xml:space="preserve">ά</w:t>
      </w:r>
      <w:r>
        <w:t xml:space="preserve"> </w:t>
      </w:r>
      <w:r>
        <w:t xml:space="preserve">4:294–318.</w:t>
      </w:r>
    </w:p>
    <w:p>
      <w:pPr>
        <w:pStyle w:val="Heading5"/>
      </w:pPr>
      <w:bookmarkStart w:id="68" w:name="pagebreak-2"/>
      <w:bookmarkEnd w:id="68"/>
      <w:r>
        <w:t xml:space="preserve">pagebreak</w:t>
      </w:r>
    </w:p>
    <w:p>
      <w:pPr>
        <w:pStyle w:val="Heading3"/>
      </w:pPr>
      <w:bookmarkStart w:id="69" w:name="colophon"/>
      <w:bookmarkEnd w:id="69"/>
      <w:r>
        <w:t xml:space="preserve">Colophon</w:t>
      </w:r>
    </w:p>
    <w:p>
      <w:pPr>
        <w:pStyle w:val="FirstParagraph"/>
      </w:pPr>
      <w:r>
        <w:t xml:space="preserve">This report was generated on 2019-05-21 12:16:24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2019-05-21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0.2.0   2017-04-11 [1] CRAN (R 3.5.2)</w:t>
      </w:r>
      <w:r>
        <w:br w:type="textWrapping"/>
      </w:r>
      <w:r>
        <w:rPr>
          <w:rStyle w:val="VerbatimChar"/>
        </w:rPr>
        <w:t xml:space="preserve">#&gt;  backports      1.1.3   2018-12-14 [1] CRAN (R 3.5.2)</w:t>
      </w:r>
      <w:r>
        <w:br w:type="textWrapping"/>
      </w:r>
      <w:r>
        <w:rPr>
          <w:rStyle w:val="VerbatimChar"/>
        </w:rPr>
        <w:t xml:space="preserve">#&gt;  bookdown       0.9     2018-12-21 [1] CRAN (R 3.5.2)</w:t>
      </w:r>
      <w:r>
        <w:br w:type="textWrapping"/>
      </w:r>
      <w:r>
        <w:rPr>
          <w:rStyle w:val="VerbatimChar"/>
        </w:rPr>
        <w:t xml:space="preserve">#&gt;  callr          3.1.1   2018-12-21 [1] CRAN (R 3.5.2)</w:t>
      </w:r>
      <w:r>
        <w:br w:type="textWrapping"/>
      </w:r>
      <w:r>
        <w:rPr>
          <w:rStyle w:val="VerbatimChar"/>
        </w:rPr>
        <w:t xml:space="preserve">#&gt;  cli            1.0.1   2018-09-25 [1] CRAN (R 3.5.2)</w:t>
      </w:r>
      <w:r>
        <w:br w:type="textWrapping"/>
      </w:r>
      <w:r>
        <w:rPr>
          <w:rStyle w:val="VerbatimChar"/>
        </w:rPr>
        <w:t xml:space="preserve">#&gt;  colorspace     1.4-0   2019-01-13 [1] CRAN (R 3.5.2)</w:t>
      </w:r>
      <w:r>
        <w:br w:type="textWrapping"/>
      </w:r>
      <w:r>
        <w:rPr>
          <w:rStyle w:val="VerbatimChar"/>
        </w:rPr>
        <w:t xml:space="preserve">#&gt;  cowplot        0.9.4   2019-01-08 [1] CRAN (R 3.5.3)</w:t>
      </w:r>
      <w:r>
        <w:br w:type="textWrapping"/>
      </w:r>
      <w:r>
        <w:rPr>
          <w:rStyle w:val="VerbatimChar"/>
        </w:rPr>
        <w:t xml:space="preserve">#&gt;  crayon         1.3.4   2017-09-16 [1] CRAN (R 3.5.2)</w:t>
      </w:r>
      <w:r>
        <w:br w:type="textWrapping"/>
      </w:r>
      <w:r>
        <w:rPr>
          <w:rStyle w:val="VerbatimChar"/>
        </w:rPr>
        <w:t xml:space="preserve">#&gt;  data.table   * 1.12.0  2019-01-13 [1] CRAN (R 3.5.3)</w:t>
      </w:r>
      <w:r>
        <w:br w:type="textWrapping"/>
      </w:r>
      <w:r>
        <w:rPr>
          <w:rStyle w:val="VerbatimChar"/>
        </w:rPr>
        <w:t xml:space="preserve">#&gt;  desc           1.2.0   2018-05-01 [1] CRAN (R 3.5.2)</w:t>
      </w:r>
      <w:r>
        <w:br w:type="textWrapping"/>
      </w:r>
      <w:r>
        <w:rPr>
          <w:rStyle w:val="VerbatimChar"/>
        </w:rPr>
        <w:t xml:space="preserve">#&gt;  devtools       2.0.1   2018-10-26 [1] CRAN (R 3.5.3)</w:t>
      </w:r>
      <w:r>
        <w:br w:type="textWrapping"/>
      </w:r>
      <w:r>
        <w:rPr>
          <w:rStyle w:val="VerbatimChar"/>
        </w:rPr>
        <w:t xml:space="preserve">#&gt;  digest         0.6.18  2018-10-10 [1] CRAN (R 3.5.2)</w:t>
      </w:r>
      <w:r>
        <w:br w:type="textWrapping"/>
      </w:r>
      <w:r>
        <w:rPr>
          <w:rStyle w:val="VerbatimChar"/>
        </w:rPr>
        <w:t xml:space="preserve">#&gt;  dplyr        * 0.8.0.1 2019-02-15 [1] CRAN (R 3.5.2)</w:t>
      </w:r>
      <w:r>
        <w:br w:type="textWrapping"/>
      </w:r>
      <w:r>
        <w:rPr>
          <w:rStyle w:val="VerbatimChar"/>
        </w:rPr>
        <w:t xml:space="preserve">#&gt;  evaluate       0.13    2019-02-12 [1] CRAN (R 3.5.2)</w:t>
      </w:r>
      <w:r>
        <w:br w:type="textWrapping"/>
      </w:r>
      <w:r>
        <w:rPr>
          <w:rStyle w:val="VerbatimChar"/>
        </w:rPr>
        <w:t xml:space="preserve">#&gt;  extrafont    * 0.17    2014-12-08 [1] CRAN (R 3.5.2)</w:t>
      </w:r>
      <w:r>
        <w:br w:type="textWrapping"/>
      </w:r>
      <w:r>
        <w:rPr>
          <w:rStyle w:val="VerbatimChar"/>
        </w:rPr>
        <w:t xml:space="preserve">#&gt;  extrafontdb    1.0     2012-06-11 [1] CRAN (R 3.5.2)</w:t>
      </w:r>
      <w:r>
        <w:br w:type="textWrapping"/>
      </w:r>
      <w:r>
        <w:rPr>
          <w:rStyle w:val="VerbatimChar"/>
        </w:rPr>
        <w:t xml:space="preserve">#&gt;  farver         1.1.0   2018-11-20 [1] CRAN (R 3.5.3)</w:t>
      </w:r>
      <w:r>
        <w:br w:type="textWrapping"/>
      </w:r>
      <w:r>
        <w:rPr>
          <w:rStyle w:val="VerbatimChar"/>
        </w:rPr>
        <w:t xml:space="preserve">#&gt;  fs             1.2.6   2018-08-23 [1] CRAN (R 3.5.2)</w:t>
      </w:r>
      <w:r>
        <w:br w:type="textWrapping"/>
      </w:r>
      <w:r>
        <w:rPr>
          <w:rStyle w:val="VerbatimChar"/>
        </w:rPr>
        <w:t xml:space="preserve">#&gt;  ggforce      * 0.2.2   2019-04-23 [1] CRAN (R 3.5.3)</w:t>
      </w:r>
      <w:r>
        <w:br w:type="textWrapping"/>
      </w:r>
      <w:r>
        <w:rPr>
          <w:rStyle w:val="VerbatimChar"/>
        </w:rPr>
        <w:t xml:space="preserve">#&gt;  ggplot2      * 3.1.0   2018-10-25 [1] CRAN (R 3.5.2)</w:t>
      </w:r>
      <w:r>
        <w:br w:type="textWrapping"/>
      </w:r>
      <w:r>
        <w:rPr>
          <w:rStyle w:val="VerbatimChar"/>
        </w:rPr>
        <w:t xml:space="preserve">#&gt;  ggpubr       * 0.2     2018-11-15 [1] CRAN (R 3.5.2)</w:t>
      </w:r>
      <w:r>
        <w:br w:type="textWrapping"/>
      </w:r>
      <w:r>
        <w:rPr>
          <w:rStyle w:val="VerbatimChar"/>
        </w:rPr>
        <w:t xml:space="preserve">#&gt;  glue           1.3.1   2019-03-12 [1] CRAN (R 3.5.3)</w:t>
      </w:r>
      <w:r>
        <w:br w:type="textWrapping"/>
      </w:r>
      <w:r>
        <w:rPr>
          <w:rStyle w:val="VerbatimChar"/>
        </w:rPr>
        <w:t xml:space="preserve">#&gt;  gridExtra      2.3     2017-09-09 [1] CRAN (R 3.5.3)</w:t>
      </w:r>
      <w:r>
        <w:br w:type="textWrapping"/>
      </w:r>
      <w:r>
        <w:rPr>
          <w:rStyle w:val="VerbatimChar"/>
        </w:rPr>
        <w:t xml:space="preserve">#&gt;  gtable         0.2.0   2016-02-26 [1] CRAN (R 3.5.2)</w:t>
      </w:r>
      <w:r>
        <w:br w:type="textWrapping"/>
      </w:r>
      <w:r>
        <w:rPr>
          <w:rStyle w:val="VerbatimChar"/>
        </w:rPr>
        <w:t xml:space="preserve">#&gt;  highr          0.7     2018-06-09 [1] CRAN (R 3.5.2)</w:t>
      </w:r>
      <w:r>
        <w:br w:type="textWrapping"/>
      </w:r>
      <w:r>
        <w:rPr>
          <w:rStyle w:val="VerbatimChar"/>
        </w:rPr>
        <w:t xml:space="preserve">#&gt;  htmltools      0.3.6   2017-04-28 [1] CRAN (R 3.5.2)</w:t>
      </w:r>
      <w:r>
        <w:br w:type="textWrapping"/>
      </w:r>
      <w:r>
        <w:rPr>
          <w:rStyle w:val="VerbatimChar"/>
        </w:rPr>
        <w:t xml:space="preserve">#&gt;  ineq         * 0.2-13  2014-07-21 [1] CRAN (R 3.5.2)</w:t>
      </w:r>
      <w:r>
        <w:br w:type="textWrapping"/>
      </w:r>
      <w:r>
        <w:rPr>
          <w:rStyle w:val="VerbatimChar"/>
        </w:rPr>
        <w:t xml:space="preserve">#&gt;  knitr          1.21    2018-12-10 [1] CRAN (R 3.5.2)</w:t>
      </w:r>
      <w:r>
        <w:br w:type="textWrapping"/>
      </w:r>
      <w:r>
        <w:rPr>
          <w:rStyle w:val="VerbatimChar"/>
        </w:rPr>
        <w:t xml:space="preserve">#&gt;  labeling       0.3     2014-08-23 [1] CRAN (R 3.5.2)</w:t>
      </w:r>
      <w:r>
        <w:br w:type="textWrapping"/>
      </w:r>
      <w:r>
        <w:rPr>
          <w:rStyle w:val="VerbatimChar"/>
        </w:rPr>
        <w:t xml:space="preserve">#&gt;  lazyeval       0.2.1   2017-10-29 [1] CRAN (R 3.5.2)</w:t>
      </w:r>
      <w:r>
        <w:br w:type="textWrapping"/>
      </w:r>
      <w:r>
        <w:rPr>
          <w:rStyle w:val="VerbatimChar"/>
        </w:rPr>
        <w:t xml:space="preserve">#&gt;  magrittr     * 1.5     2014-11-22 [1] CRAN (R 3.5.2)</w:t>
      </w:r>
      <w:r>
        <w:br w:type="textWrapping"/>
      </w:r>
      <w:r>
        <w:rPr>
          <w:rStyle w:val="VerbatimChar"/>
        </w:rPr>
        <w:t xml:space="preserve">#&gt;  MASS           7.3-50  2018-04-30 [2]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1.3.1   2018-12-15 [1] CRAN (R 3.5.2)</w:t>
      </w:r>
      <w:r>
        <w:br w:type="textWrapping"/>
      </w:r>
      <w:r>
        <w:rPr>
          <w:rStyle w:val="VerbatimChar"/>
        </w:rPr>
        <w:t xml:space="preserve">#&gt;  pkgbuild       1.0.2   2018-10-16 [1] CRAN (R 3.5.2)</w:t>
      </w:r>
      <w:r>
        <w:br w:type="textWrapping"/>
      </w:r>
      <w:r>
        <w:rPr>
          <w:rStyle w:val="VerbatimChar"/>
        </w:rPr>
        <w:t xml:space="preserve">#&gt;  pkgconfig      2.0.2   2018-08-16 [1] CRAN (R 3.5.2)</w:t>
      </w:r>
      <w:r>
        <w:br w:type="textWrapping"/>
      </w:r>
      <w:r>
        <w:rPr>
          <w:rStyle w:val="VerbatimChar"/>
        </w:rPr>
        <w:t xml:space="preserve">#&gt;  pkgload        1.0.2   2018-10-29 [1] CRAN (R 3.5.2)</w:t>
      </w:r>
      <w:r>
        <w:br w:type="textWrapping"/>
      </w:r>
      <w:r>
        <w:rPr>
          <w:rStyle w:val="VerbatimChar"/>
        </w:rPr>
        <w:t xml:space="preserve">#&gt;  plyr         * 1.8.4   2016-06-08 [1] CRAN (R 3.5.2)</w:t>
      </w:r>
      <w:r>
        <w:br w:type="textWrapping"/>
      </w:r>
      <w:r>
        <w:rPr>
          <w:rStyle w:val="VerbatimChar"/>
        </w:rPr>
        <w:t xml:space="preserve">#&gt;  png          * 0.1-7   2013-12-03 [1] CRAN (R 3.5.2)</w:t>
      </w:r>
      <w:r>
        <w:br w:type="textWrapping"/>
      </w:r>
      <w:r>
        <w:rPr>
          <w:rStyle w:val="VerbatimChar"/>
        </w:rPr>
        <w:t xml:space="preserve">#&gt;  polyclip       1.10-0  2019-03-14 [1] CRAN (R 3.5.3)</w:t>
      </w:r>
      <w:r>
        <w:br w:type="textWrapping"/>
      </w:r>
      <w:r>
        <w:rPr>
          <w:rStyle w:val="VerbatimChar"/>
        </w:rPr>
        <w:t xml:space="preserve">#&gt;  prettyunits    1.0.2   2015-07-13 [1] CRAN (R 3.5.2)</w:t>
      </w:r>
      <w:r>
        <w:br w:type="textWrapping"/>
      </w:r>
      <w:r>
        <w:rPr>
          <w:rStyle w:val="VerbatimChar"/>
        </w:rPr>
        <w:t xml:space="preserve">#&gt;  processx       3.2.1   2018-12-05 [1] CRAN (R 3.5.2)</w:t>
      </w:r>
      <w:r>
        <w:br w:type="textWrapping"/>
      </w:r>
      <w:r>
        <w:rPr>
          <w:rStyle w:val="VerbatimChar"/>
        </w:rPr>
        <w:t xml:space="preserve">#&gt;  ps             1.3.0   2018-12-21 [1] CRAN (R 3.5.2)</w:t>
      </w:r>
      <w:r>
        <w:br w:type="textWrapping"/>
      </w:r>
      <w:r>
        <w:rPr>
          <w:rStyle w:val="VerbatimChar"/>
        </w:rPr>
        <w:t xml:space="preserve">#&gt;  purrr          0.3.0   2019-01-27 [1] CRAN (R 3.5.2)</w:t>
      </w:r>
      <w:r>
        <w:br w:type="textWrapping"/>
      </w:r>
      <w:r>
        <w:rPr>
          <w:rStyle w:val="VerbatimChar"/>
        </w:rPr>
        <w:t xml:space="preserve">#&gt;  R6             2.4.0   2019-02-14 [1] CRAN (R 3.5.2)</w:t>
      </w:r>
      <w:r>
        <w:br w:type="textWrapping"/>
      </w:r>
      <w:r>
        <w:rPr>
          <w:rStyle w:val="VerbatimChar"/>
        </w:rPr>
        <w:t xml:space="preserve">#&gt;  RColorBrewer * 1.1-2   2014-12-07 [1] CRAN (R 3.5.2)</w:t>
      </w:r>
      <w:r>
        <w:br w:type="textWrapping"/>
      </w:r>
      <w:r>
        <w:rPr>
          <w:rStyle w:val="VerbatimChar"/>
        </w:rPr>
        <w:t xml:space="preserve">#&gt;  Rcpp           1.0.0   2018-11-07 [1] CRAN (R 3.5.2)</w:t>
      </w:r>
      <w:r>
        <w:br w:type="textWrapping"/>
      </w:r>
      <w:r>
        <w:rPr>
          <w:rStyle w:val="VerbatimChar"/>
        </w:rPr>
        <w:t xml:space="preserve">#&gt;  remotes        2.0.2   2018-10-30 [1] CRAN (R 3.5.2)</w:t>
      </w:r>
      <w:r>
        <w:br w:type="textWrapping"/>
      </w:r>
      <w:r>
        <w:rPr>
          <w:rStyle w:val="VerbatimChar"/>
        </w:rPr>
        <w:t xml:space="preserve">#&gt;  reshape      * 0.8.8   2018-10-23 [1] CRAN (R 3.5.3)</w:t>
      </w:r>
      <w:r>
        <w:br w:type="textWrapping"/>
      </w:r>
      <w:r>
        <w:rPr>
          <w:rStyle w:val="VerbatimChar"/>
        </w:rPr>
        <w:t xml:space="preserve">#&gt;  reshape2       1.4.3   2017-12-11 [1] CRAN (R 3.5.2)</w:t>
      </w:r>
      <w:r>
        <w:br w:type="textWrapping"/>
      </w:r>
      <w:r>
        <w:rPr>
          <w:rStyle w:val="VerbatimChar"/>
        </w:rPr>
        <w:t xml:space="preserve">#&gt;  rlang          0.3.1   2019-01-08 [1] CRAN (R 3.5.2)</w:t>
      </w:r>
      <w:r>
        <w:br w:type="textWrapping"/>
      </w:r>
      <w:r>
        <w:rPr>
          <w:rStyle w:val="VerbatimChar"/>
        </w:rPr>
        <w:t xml:space="preserve">#&gt;  rmarkdown      1.11    2018-12-08 [1] CRAN (R 3.5.2)</w:t>
      </w:r>
      <w:r>
        <w:br w:type="textWrapping"/>
      </w:r>
      <w:r>
        <w:rPr>
          <w:rStyle w:val="VerbatimChar"/>
        </w:rPr>
        <w:t xml:space="preserve">#&gt;  rprojroot      1.3-2   2018-01-03 [1] CRAN (R 3.5.2)</w:t>
      </w:r>
      <w:r>
        <w:br w:type="textWrapping"/>
      </w:r>
      <w:r>
        <w:rPr>
          <w:rStyle w:val="VerbatimChar"/>
        </w:rPr>
        <w:t xml:space="preserve">#&gt;  Rttf2pt1       1.3.7   2018-06-29 [1] CRAN (R 3.5.2)</w:t>
      </w:r>
      <w:r>
        <w:br w:type="textWrapping"/>
      </w:r>
      <w:r>
        <w:rPr>
          <w:rStyle w:val="VerbatimChar"/>
        </w:rPr>
        <w:t xml:space="preserve">#&gt;  scales         1.0.0   2018-08-09 [1] CRAN (R 3.5.2)</w:t>
      </w:r>
      <w:r>
        <w:br w:type="textWrapping"/>
      </w:r>
      <w:r>
        <w:rPr>
          <w:rStyle w:val="VerbatimChar"/>
        </w:rPr>
        <w:t xml:space="preserve">#&gt;  sessioninfo    1.1.1   2018-11-05 [1] CRAN (R 3.5.2)</w:t>
      </w:r>
      <w:r>
        <w:br w:type="textWrapping"/>
      </w:r>
      <w:r>
        <w:rPr>
          <w:rStyle w:val="VerbatimChar"/>
        </w:rPr>
        <w:t xml:space="preserve">#&gt;  stringi        1.3.1   2019-02-13 [1] CRAN (R 3.5.2)</w:t>
      </w:r>
      <w:r>
        <w:br w:type="textWrapping"/>
      </w:r>
      <w:r>
        <w:rPr>
          <w:rStyle w:val="VerbatimChar"/>
        </w:rPr>
        <w:t xml:space="preserve">#&gt;  stringr        1.4.0   2019-02-10 [1] CRAN (R 3.5.2)</w:t>
      </w:r>
      <w:r>
        <w:br w:type="textWrapping"/>
      </w:r>
      <w:r>
        <w:rPr>
          <w:rStyle w:val="VerbatimChar"/>
        </w:rPr>
        <w:t xml:space="preserve">#&gt;  tibble         2.0.1   2019-01-12 [1] CRAN (R 3.5.2)</w:t>
      </w:r>
      <w:r>
        <w:br w:type="textWrapping"/>
      </w:r>
      <w:r>
        <w:rPr>
          <w:rStyle w:val="VerbatimChar"/>
        </w:rPr>
        <w:t xml:space="preserve">#&gt;  tidyselect     0.2.5   2018-10-11 [1] CRAN (R 3.5.2)</w:t>
      </w:r>
      <w:r>
        <w:br w:type="textWrapping"/>
      </w:r>
      <w:r>
        <w:rPr>
          <w:rStyle w:val="VerbatimChar"/>
        </w:rPr>
        <w:t xml:space="preserve">#&gt;  tweenr         1.0.1   2018-12-14 [1] CRAN (R 3.5.3)</w:t>
      </w:r>
      <w:r>
        <w:br w:type="textWrapping"/>
      </w:r>
      <w:r>
        <w:rPr>
          <w:rStyle w:val="VerbatimChar"/>
        </w:rPr>
        <w:t xml:space="preserve">#&gt;  usethis        1.4.0   2018-08-14 [1] CRAN (R 3.5.2)</w:t>
      </w:r>
      <w:r>
        <w:br w:type="textWrapping"/>
      </w:r>
      <w:r>
        <w:rPr>
          <w:rStyle w:val="VerbatimChar"/>
        </w:rPr>
        <w:t xml:space="preserve">#&gt;  withr          2.1.2   2018-03-15 [1] CRAN (R 3.5.2)</w:t>
      </w:r>
      <w:r>
        <w:br w:type="textWrapping"/>
      </w:r>
      <w:r>
        <w:rPr>
          <w:rStyle w:val="VerbatimChar"/>
        </w:rPr>
        <w:t xml:space="preserve">#&gt;  xfun           0.5     2019-02-20 [1] CRAN (R 3.5.2)</w:t>
      </w:r>
      <w:r>
        <w:br w:type="textWrapping"/>
      </w:r>
      <w:r>
        <w:rPr>
          <w:rStyle w:val="VerbatimChar"/>
        </w:rPr>
        <w:t xml:space="preserve">#&gt;  yaml           2.2.0   2018-07-25 [1] CRAN (R 3.5.2)</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C:/Users/dcpol/domproject</w:t>
      </w:r>
      <w:r>
        <w:br w:type="textWrapping"/>
      </w:r>
      <w:r>
        <w:rPr>
          <w:rStyle w:val="VerbatimChar"/>
        </w:rPr>
        <w:t xml:space="preserve">#&gt; Remote:   master @ origin (https://github.com/DCPollard94/knossoscemeteries.git)</w:t>
      </w:r>
      <w:r>
        <w:br w:type="textWrapping"/>
      </w:r>
      <w:r>
        <w:rPr>
          <w:rStyle w:val="VerbatimChar"/>
        </w:rPr>
        <w:t xml:space="preserve">#&gt; Head:     [2618711] 2019-05-20: Figs complete and csl edited</w:t>
      </w:r>
    </w:p>
    <w:sectPr w:rsidR="002769F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616fd8c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C5486"/>
    <w:pPr>
      <w:spacing w:before="180" w:after="180"/>
    </w:pPr>
    <w:rPr>
      <w:rFonts w:ascii="Book Antiqua" w:hAnsi="Book Antiqua"/>
      <w:sz w:val="22"/>
    </w:rPr>
  </w:style>
  <w:style w:type="paragraph" w:customStyle="1" w:styleId="FirstParagraph">
    <w:name w:val="First Paragraph"/>
    <w:basedOn w:val="BodyText"/>
    <w:next w:val="BodyText"/>
    <w:qFormat/>
    <w:rsid w:val="00AC5486"/>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AC5486"/>
    <w:pPr>
      <w:keepNext/>
      <w:keepLines/>
      <w:spacing w:before="300" w:after="300"/>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C5486"/>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57" Target="media/rId57.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hyperlink" Id="rId66" Target="https://doi.org/10.1007/s10816-015-9272-9" TargetMode="External" /><Relationship Type="http://schemas.openxmlformats.org/officeDocument/2006/relationships/hyperlink" Id="rId67" Target="https://doi.org/10.1353/ajp.2011.0043" TargetMode="External" /><Relationship Type="http://schemas.openxmlformats.org/officeDocument/2006/relationships/hyperlink" Id="rId34"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66" Target="https://doi.org/10.1007/s10816-015-9272-9" TargetMode="External" /><Relationship Type="http://schemas.openxmlformats.org/officeDocument/2006/relationships/hyperlink" Id="rId67" Target="https://doi.org/10.1353/ajp.2011.0043" TargetMode="External" /><Relationship Type="http://schemas.openxmlformats.org/officeDocument/2006/relationships/hyperlink" Id="rId34"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33</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at Knossos, Crete</dc:title>
  <dc:creator>Dominic Pollard, Institute of Archaeology, University College London; dominic.pollard.16@ucl.ac.uk</dc:creator>
  <dcterms:created xsi:type="dcterms:W3CDTF">2019-05-21T11:16:26Z</dcterms:created>
  <dcterms:modified xsi:type="dcterms:W3CDTF">2019-05-21T11:16:26Z</dcterms:modified>
</cp:coreProperties>
</file>